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72A1E8">
      <w:pPr>
        <w:spacing w:before="480" w:after="480" w:line="288" w:lineRule="auto"/>
        <w:ind w:left="0"/>
        <w:jc w:val="center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中国贸促会体系设立绿色燃料产业涉外机构可行性方案</w:t>
      </w:r>
    </w:p>
    <w:p w14:paraId="593E9277">
      <w:pPr>
        <w:spacing w:before="380" w:after="140" w:line="288" w:lineRule="auto"/>
        <w:ind w:left="0"/>
        <w:jc w:val="left"/>
        <w:outlineLvl w:val="0"/>
        <w:rPr>
          <w:rFonts w:hint="eastAsia" w:ascii="宋体" w:hAnsi="宋体" w:eastAsia="宋体" w:cs="宋体"/>
          <w:sz w:val="28"/>
          <w:szCs w:val="28"/>
        </w:rPr>
      </w:pPr>
      <w:bookmarkStart w:id="0" w:name="heading_0"/>
      <w:r>
        <w:rPr>
          <w:rFonts w:hint="eastAsia" w:ascii="宋体" w:hAnsi="宋体" w:eastAsia="宋体" w:cs="宋体"/>
          <w:b/>
          <w:sz w:val="28"/>
          <w:szCs w:val="28"/>
        </w:rPr>
        <w:t>一、方案核心定位与核心结论</w:t>
      </w:r>
      <w:bookmarkEnd w:id="0"/>
    </w:p>
    <w:p w14:paraId="6BADA5D1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1" w:name="heading_1"/>
      <w:r>
        <w:rPr>
          <w:rFonts w:hint="eastAsia" w:ascii="宋体" w:hAnsi="宋体" w:eastAsia="宋体" w:cs="宋体"/>
          <w:b/>
          <w:sz w:val="28"/>
          <w:szCs w:val="28"/>
        </w:rPr>
        <w:t>（一）机构定位</w:t>
      </w:r>
      <w:bookmarkEnd w:id="1"/>
    </w:p>
    <w:p w14:paraId="7C3713EE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依托</w:t>
      </w:r>
      <w:r>
        <w:rPr>
          <w:rFonts w:hint="eastAsia" w:ascii="宋体" w:hAnsi="宋体" w:eastAsia="宋体" w:cs="宋体"/>
          <w:b/>
          <w:sz w:val="28"/>
          <w:szCs w:val="28"/>
        </w:rPr>
        <w:t>中国国际贸易促进委员会（CCPIT）、中国国际商会</w:t>
      </w:r>
      <w:r>
        <w:rPr>
          <w:rFonts w:hint="eastAsia" w:ascii="宋体" w:hAnsi="宋体" w:eastAsia="宋体" w:cs="宋体"/>
          <w:sz w:val="28"/>
          <w:szCs w:val="28"/>
        </w:rPr>
        <w:t>体系，设立专属绿色燃料产业二级涉外产业机构（行业委员会/专业委员会），聚焦绿色燃料（生物燃料、绿色甲醇、绿色氨、可持续航空燃料SAF）的</w:t>
      </w:r>
      <w:r>
        <w:rPr>
          <w:rFonts w:hint="eastAsia" w:ascii="宋体" w:hAnsi="宋体" w:eastAsia="宋体" w:cs="宋体"/>
          <w:b/>
          <w:sz w:val="28"/>
          <w:szCs w:val="28"/>
        </w:rPr>
        <w:t>国际贸易、国际认证对接、跨境标准输出、海外市场合规、国际会展经贸交流、涉外政策建言</w:t>
      </w:r>
      <w:r>
        <w:rPr>
          <w:rFonts w:hint="eastAsia" w:ascii="宋体" w:hAnsi="宋体" w:eastAsia="宋体" w:cs="宋体"/>
          <w:sz w:val="28"/>
          <w:szCs w:val="28"/>
        </w:rPr>
        <w:t>核心职能。</w:t>
      </w:r>
    </w:p>
    <w:p w14:paraId="5182F993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区别于传统能源协会侧重国内产业政策、技术研发、产能落地的定位，本机构主打</w:t>
      </w:r>
      <w:r>
        <w:rPr>
          <w:rFonts w:hint="eastAsia" w:ascii="宋体" w:hAnsi="宋体" w:eastAsia="宋体" w:cs="宋体"/>
          <w:b/>
          <w:sz w:val="28"/>
          <w:szCs w:val="28"/>
        </w:rPr>
        <w:t>涉外经贸、国际规则对接、出海赋能、跨境资源整合</w:t>
      </w:r>
      <w:r>
        <w:rPr>
          <w:rFonts w:hint="eastAsia" w:ascii="宋体" w:hAnsi="宋体" w:eastAsia="宋体" w:cs="宋体"/>
          <w:sz w:val="28"/>
          <w:szCs w:val="28"/>
        </w:rPr>
        <w:t>，完美匹配绿色燃料赛道“国内产能全球第一、出口刚需旺盛、国际认证壁垒高、涉外规则主导权缺失”的产业痛点。</w:t>
      </w:r>
    </w:p>
    <w:p w14:paraId="662751F7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2" w:name="heading_2"/>
      <w:r>
        <w:rPr>
          <w:rFonts w:hint="eastAsia" w:ascii="宋体" w:hAnsi="宋体" w:eastAsia="宋体" w:cs="宋体"/>
          <w:b/>
          <w:sz w:val="28"/>
          <w:szCs w:val="28"/>
        </w:rPr>
        <w:t>（二）核心可行性结论</w:t>
      </w:r>
      <w:bookmarkEnd w:id="2"/>
    </w:p>
    <w:p w14:paraId="5602A3E6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 政策适配性拉满：贸促会是国家唯一法定涉外经贸公共服务平台，属于中央编办批复的特殊社团体系，</w:t>
      </w:r>
      <w:r>
        <w:rPr>
          <w:rFonts w:hint="eastAsia" w:ascii="宋体" w:hAnsi="宋体" w:eastAsia="宋体" w:cs="宋体"/>
          <w:b/>
          <w:sz w:val="28"/>
          <w:szCs w:val="28"/>
        </w:rPr>
        <w:t>不受普通全国性协会“总量只减不增、细分重叠严控”的严格限制</w:t>
      </w:r>
      <w:r>
        <w:rPr>
          <w:rFonts w:hint="eastAsia" w:ascii="宋体" w:hAnsi="宋体" w:eastAsia="宋体" w:cs="宋体"/>
          <w:sz w:val="28"/>
          <w:szCs w:val="28"/>
        </w:rPr>
        <w:t>，鼓励围绕战略性涉外新兴产业设立专项分支。</w:t>
      </w:r>
    </w:p>
    <w:p w14:paraId="16008D73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 赛道空白无冲突：全国贸促体系暂无专门聚焦绿色燃料全品类的涉外产业委员会，现有分支多覆盖综合能源、通用化工、传统贸易，业务边界完全可切割，无重叠驳回风险。</w:t>
      </w:r>
    </w:p>
    <w:p w14:paraId="247A35EF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 涉外属性独家匹配：绿色燃料核心增量在出口、国际海事/民航规则对接、海外碳关税合规、跨境认证（ISCC/RSB），贸促会具备其他协会不具备的</w:t>
      </w:r>
      <w:r>
        <w:rPr>
          <w:rFonts w:hint="eastAsia" w:ascii="宋体" w:hAnsi="宋体" w:eastAsia="宋体" w:cs="宋体"/>
          <w:b/>
          <w:sz w:val="28"/>
          <w:szCs w:val="28"/>
        </w:rPr>
        <w:t>涉外背书、外事活动、国际经贸仲裁、海外代表处网络</w:t>
      </w:r>
      <w:r>
        <w:rPr>
          <w:rFonts w:hint="eastAsia" w:ascii="宋体" w:hAnsi="宋体" w:eastAsia="宋体" w:cs="宋体"/>
          <w:sz w:val="28"/>
          <w:szCs w:val="28"/>
        </w:rPr>
        <w:t>独家优势。</w:t>
      </w:r>
    </w:p>
    <w:p w14:paraId="604D6CEA">
      <w:pPr>
        <w:spacing w:before="380" w:after="140" w:line="288" w:lineRule="auto"/>
        <w:ind w:left="0"/>
        <w:jc w:val="left"/>
        <w:outlineLvl w:val="0"/>
        <w:rPr>
          <w:rFonts w:hint="eastAsia" w:ascii="宋体" w:hAnsi="宋体" w:eastAsia="宋体" w:cs="宋体"/>
          <w:sz w:val="28"/>
          <w:szCs w:val="28"/>
        </w:rPr>
      </w:pPr>
      <w:bookmarkStart w:id="3" w:name="heading_3"/>
      <w:r>
        <w:rPr>
          <w:rFonts w:hint="eastAsia" w:ascii="宋体" w:hAnsi="宋体" w:eastAsia="宋体" w:cs="宋体"/>
          <w:b/>
          <w:sz w:val="28"/>
          <w:szCs w:val="28"/>
        </w:rPr>
        <w:t>二、贸促会体系设立机构的独有核心优势（对比其他协会）</w:t>
      </w:r>
      <w:bookmarkEnd w:id="3"/>
    </w:p>
    <w:p w14:paraId="422807E9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4" w:name="heading_4"/>
      <w:r>
        <w:rPr>
          <w:rFonts w:hint="eastAsia" w:ascii="宋体" w:hAnsi="宋体" w:eastAsia="宋体" w:cs="宋体"/>
          <w:b/>
          <w:sz w:val="28"/>
          <w:szCs w:val="28"/>
        </w:rPr>
        <w:t>（一）资质公信力独家优势</w:t>
      </w:r>
      <w:bookmarkEnd w:id="4"/>
    </w:p>
    <w:p w14:paraId="69801310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贸促会、中国国际商会为</w:t>
      </w:r>
      <w:r>
        <w:rPr>
          <w:rFonts w:hint="eastAsia" w:ascii="宋体" w:hAnsi="宋体" w:eastAsia="宋体" w:cs="宋体"/>
          <w:b/>
          <w:sz w:val="28"/>
          <w:szCs w:val="28"/>
        </w:rPr>
        <w:t>国家级涉外公共服务机构</w:t>
      </w:r>
      <w:r>
        <w:rPr>
          <w:rFonts w:hint="eastAsia" w:ascii="宋体" w:hAnsi="宋体" w:eastAsia="宋体" w:cs="宋体"/>
          <w:sz w:val="28"/>
          <w:szCs w:val="28"/>
        </w:rPr>
        <w:t>，对接外交部、商务部、海关总署、国际海事组织、国际民航组织，对外公信力、官方背书层级高于普通行业协会。机构出具的产业证明、行业推荐、合规认证辅助材料、行业报告，可直接用于企业海外通关、海外项目投标、国际认证佐证、涉外政策申报。</w:t>
      </w:r>
    </w:p>
    <w:p w14:paraId="43773EE8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5" w:name="heading_5"/>
      <w:r>
        <w:rPr>
          <w:rFonts w:hint="eastAsia" w:ascii="宋体" w:hAnsi="宋体" w:eastAsia="宋体" w:cs="宋体"/>
          <w:b/>
          <w:sz w:val="28"/>
          <w:szCs w:val="28"/>
        </w:rPr>
        <w:t>（二）政策监管宽松优势</w:t>
      </w:r>
      <w:bookmarkEnd w:id="5"/>
    </w:p>
    <w:p w14:paraId="6A17E1D6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在2026年最新社会组织新规下，普通行业协会严控细分新设、严控涉外活动；而贸促会体系</w:t>
      </w:r>
      <w:r>
        <w:rPr>
          <w:rFonts w:hint="eastAsia" w:ascii="宋体" w:hAnsi="宋体" w:eastAsia="宋体" w:cs="宋体"/>
          <w:b/>
          <w:sz w:val="28"/>
          <w:szCs w:val="28"/>
        </w:rPr>
        <w:t>天然具备涉外活动资质、国际交流权限、跨境经贸服务职能</w:t>
      </w:r>
      <w:r>
        <w:rPr>
          <w:rFonts w:hint="eastAsia" w:ascii="宋体" w:hAnsi="宋体" w:eastAsia="宋体" w:cs="宋体"/>
          <w:sz w:val="28"/>
          <w:szCs w:val="28"/>
        </w:rPr>
        <w:t>，无需单独报备涉外资质，可合法常态化开展国际论坛、海外出访、跨境招商、国际标准对接、外籍会员吸纳等工作。</w:t>
      </w:r>
    </w:p>
    <w:p w14:paraId="3F09ED8C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6" w:name="heading_6"/>
      <w:r>
        <w:rPr>
          <w:rFonts w:hint="eastAsia" w:ascii="宋体" w:hAnsi="宋体" w:eastAsia="宋体" w:cs="宋体"/>
          <w:b/>
          <w:sz w:val="28"/>
          <w:szCs w:val="28"/>
        </w:rPr>
        <w:t>（三）赛道职能精准适配</w:t>
      </w:r>
      <w:bookmarkEnd w:id="6"/>
    </w:p>
    <w:p w14:paraId="6DB70B8A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绿色燃料当前最大产业卡点并非国内产能，而是</w:t>
      </w:r>
      <w:r>
        <w:rPr>
          <w:rFonts w:hint="eastAsia" w:ascii="宋体" w:hAnsi="宋体" w:eastAsia="宋体" w:cs="宋体"/>
          <w:b/>
          <w:sz w:val="28"/>
          <w:szCs w:val="28"/>
        </w:rPr>
        <w:t>出口合规难、国际认证壁垒高、海外市场信息不对称、国际规则话语权弱、跨境贸易纠纷多</w:t>
      </w:r>
      <w:r>
        <w:rPr>
          <w:rFonts w:hint="eastAsia" w:ascii="宋体" w:hAnsi="宋体" w:eastAsia="宋体" w:cs="宋体"/>
          <w:sz w:val="28"/>
          <w:szCs w:val="28"/>
        </w:rPr>
        <w:t>。贸促会体系可提供一站式解决方案：涉外经贸赋能、海外市场准入指导、国际商事调解、跨境展会对接、中外产业磋商、出海政策解读，完全贴合产业核心刚需。</w:t>
      </w:r>
    </w:p>
    <w:p w14:paraId="4663A79C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7" w:name="heading_7"/>
      <w:r>
        <w:rPr>
          <w:rFonts w:hint="eastAsia" w:ascii="宋体" w:hAnsi="宋体" w:eastAsia="宋体" w:cs="宋体"/>
          <w:b/>
          <w:sz w:val="28"/>
          <w:szCs w:val="28"/>
        </w:rPr>
        <w:t>（四）落地与运营优势</w:t>
      </w:r>
      <w:bookmarkEnd w:id="7"/>
    </w:p>
    <w:p w14:paraId="5E76CAAC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 审批链路短：无需国家能源局、工信部等部委单独背书，依托贸促会固有主管体系审批；</w:t>
      </w:r>
    </w:p>
    <w:p w14:paraId="3F59C602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 名称高级合规：可合法使用“绿色燃料产业专业委员会、国际经贸工作委员会”名称，对外可凸显国家级涉外产业平台属性；</w:t>
      </w:r>
    </w:p>
    <w:p w14:paraId="0B89FC53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 无硬性外籍会员占比：区别于民政部正统国际社团1/3外籍会员硬性要求，贸促分支可灵活吸纳境外会员、合作机构，无刚性指标门槛；</w:t>
      </w:r>
    </w:p>
    <w:p w14:paraId="08FA2173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 资源配套完善：依托贸促会全球海外代表处、各国驻华使馆经贸渠道、国际商会全球网络，快速搭建国际产业合作体系。</w:t>
      </w:r>
    </w:p>
    <w:p w14:paraId="1C44E465">
      <w:pPr>
        <w:spacing w:before="380" w:after="140" w:line="288" w:lineRule="auto"/>
        <w:ind w:left="0"/>
        <w:jc w:val="left"/>
        <w:outlineLvl w:val="0"/>
        <w:rPr>
          <w:rFonts w:hint="eastAsia" w:ascii="宋体" w:hAnsi="宋体" w:eastAsia="宋体" w:cs="宋体"/>
          <w:sz w:val="28"/>
          <w:szCs w:val="28"/>
        </w:rPr>
      </w:pPr>
      <w:bookmarkStart w:id="8" w:name="heading_8"/>
      <w:r>
        <w:rPr>
          <w:rFonts w:hint="eastAsia" w:ascii="宋体" w:hAnsi="宋体" w:eastAsia="宋体" w:cs="宋体"/>
          <w:b/>
          <w:sz w:val="28"/>
          <w:szCs w:val="28"/>
        </w:rPr>
        <w:t>三、合规机构形态与标准命名方案</w:t>
      </w:r>
      <w:bookmarkEnd w:id="8"/>
    </w:p>
    <w:p w14:paraId="6ABD59D9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结合贸促会体系管理规则与2026社会组织新规，兼顾落地难度、公信力与业务适配性：</w:t>
      </w:r>
    </w:p>
    <w:p w14:paraId="414D0692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9" w:name="heading_9"/>
      <w:r>
        <w:rPr>
          <w:rFonts w:hint="eastAsia" w:ascii="宋体" w:hAnsi="宋体" w:eastAsia="宋体" w:cs="宋体"/>
          <w:b/>
          <w:sz w:val="28"/>
          <w:szCs w:val="28"/>
        </w:rPr>
        <w:t>（一）最优落地形态（首选）：中国国际商会绿色燃料产业专业委员会</w:t>
      </w:r>
      <w:bookmarkEnd w:id="9"/>
    </w:p>
    <w:p w14:paraId="2AF4C472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 核心优势：落地最快、审批最稳、涉外属性最强、完全适配贸易与国际合作职能；</w:t>
      </w:r>
    </w:p>
    <w:p w14:paraId="430D05DF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 合规边界：属于中国国际商会正规二级分支机构，纳入总会统一备案，合规无风险；</w:t>
      </w:r>
    </w:p>
    <w:p w14:paraId="29E05C79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 核心职能：绿色燃料跨境贸易、国际认证对接、海外市场准入、涉外产业交流、出海企业服务、国际标准协同。</w:t>
      </w:r>
    </w:p>
    <w:p w14:paraId="3285A25E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10" w:name="heading_10"/>
      <w:r>
        <w:rPr>
          <w:rFonts w:hint="eastAsia" w:ascii="宋体" w:hAnsi="宋体" w:eastAsia="宋体" w:cs="宋体"/>
          <w:b/>
          <w:sz w:val="28"/>
          <w:szCs w:val="28"/>
        </w:rPr>
        <w:t>（二）次选形态：中国贸促会行业委员会绿色燃料国际经贸工作委员会</w:t>
      </w:r>
      <w:bookmarkEnd w:id="10"/>
    </w:p>
    <w:p w14:paraId="344673B7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 核心优势：侧重行业产业+涉外经贸双属性，兼顾国内产业规范与海外出海赋能；</w:t>
      </w:r>
    </w:p>
    <w:p w14:paraId="1A7832D4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 适配场景：适合同时开展国内产业调研、政策建言与国际合作的综合布局。</w:t>
      </w:r>
    </w:p>
    <w:p w14:paraId="4C5FB129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11" w:name="heading_11"/>
      <w:r>
        <w:rPr>
          <w:rFonts w:hint="eastAsia" w:ascii="宋体" w:hAnsi="宋体" w:eastAsia="宋体" w:cs="宋体"/>
          <w:b/>
          <w:sz w:val="28"/>
          <w:szCs w:val="28"/>
        </w:rPr>
        <w:t>（三）轻量化快速形态：贸促体系绿色燃料跨境产业合作联盟</w:t>
      </w:r>
      <w:bookmarkEnd w:id="11"/>
    </w:p>
    <w:p w14:paraId="7A154170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 核心优势：1-2个月极速落地，无需复杂审批，市场化灵活运营；</w:t>
      </w:r>
    </w:p>
    <w:p w14:paraId="500A2CE0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 适用场景：短期快速聚资源、搭平台、办活动，为正式委员会落地积累成果。</w:t>
      </w:r>
    </w:p>
    <w:p w14:paraId="475C6596">
      <w:pPr>
        <w:spacing w:before="380" w:after="140" w:line="288" w:lineRule="auto"/>
        <w:ind w:left="0"/>
        <w:jc w:val="left"/>
        <w:outlineLvl w:val="0"/>
        <w:rPr>
          <w:rFonts w:hint="eastAsia" w:ascii="宋体" w:hAnsi="宋体" w:eastAsia="宋体" w:cs="宋体"/>
          <w:sz w:val="28"/>
          <w:szCs w:val="28"/>
        </w:rPr>
      </w:pPr>
      <w:bookmarkStart w:id="12" w:name="heading_12"/>
      <w:r>
        <w:rPr>
          <w:rFonts w:hint="eastAsia" w:ascii="宋体" w:hAnsi="宋体" w:eastAsia="宋体" w:cs="宋体"/>
          <w:b/>
          <w:sz w:val="28"/>
          <w:szCs w:val="28"/>
        </w:rPr>
        <w:t>四、硬性设立条件与申报标准</w:t>
      </w:r>
      <w:bookmarkEnd w:id="12"/>
    </w:p>
    <w:p w14:paraId="7ADB83F3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结合《社会团体分支机构、代表机构管理办法（2026修订）》及贸促会分支机构管理要求，明确落地必备条件：</w:t>
      </w:r>
    </w:p>
    <w:p w14:paraId="12D24FC1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13" w:name="heading_13"/>
      <w:r>
        <w:rPr>
          <w:rFonts w:hint="eastAsia" w:ascii="宋体" w:hAnsi="宋体" w:eastAsia="宋体" w:cs="宋体"/>
          <w:b/>
          <w:sz w:val="28"/>
          <w:szCs w:val="28"/>
        </w:rPr>
        <w:t>（一）主体与发起条件</w:t>
      </w:r>
      <w:bookmarkEnd w:id="13"/>
    </w:p>
    <w:p w14:paraId="5A1CF633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 发起单位：由国内绿色燃料龙头企业、科研院所、产业链核心机构联合发起，具备产业代表性与行业影响力；</w:t>
      </w:r>
    </w:p>
    <w:p w14:paraId="5730D1CD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 会员储备：预储备20家以上优质单位会员（生产、贸易、装备、认证、出口企业），含部分涉外经营企业；</w:t>
      </w:r>
    </w:p>
    <w:p w14:paraId="18D2F754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 负责人资质：拟任负责人无社会组织违规记录、无不良征信，具备行业从业背景或涉外经贸工作经验。</w:t>
      </w:r>
    </w:p>
    <w:p w14:paraId="3D43DF04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14" w:name="heading_14"/>
      <w:r>
        <w:rPr>
          <w:rFonts w:hint="eastAsia" w:ascii="宋体" w:hAnsi="宋体" w:eastAsia="宋体" w:cs="宋体"/>
          <w:b/>
          <w:sz w:val="28"/>
          <w:szCs w:val="28"/>
        </w:rPr>
        <w:t>（二）硬件与运营条件</w:t>
      </w:r>
      <w:bookmarkEnd w:id="14"/>
    </w:p>
    <w:p w14:paraId="78DCD251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 固定办公场所：具备独立可核验办公场地，满足日常运营、会议接待需求；</w:t>
      </w:r>
    </w:p>
    <w:p w14:paraId="3C39D911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 专职人员：配备2名及以上专职工作人员，负责日常运营、涉外对接、会员服务；</w:t>
      </w:r>
    </w:p>
    <w:p w14:paraId="576A58DA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 运营保障：具备稳定经费来源，可支撑会议举办、产业调研、涉外交流、平台运营等工作。</w:t>
      </w:r>
    </w:p>
    <w:p w14:paraId="489CB848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15" w:name="heading_15"/>
      <w:r>
        <w:rPr>
          <w:rFonts w:hint="eastAsia" w:ascii="宋体" w:hAnsi="宋体" w:eastAsia="宋体" w:cs="宋体"/>
          <w:b/>
          <w:sz w:val="28"/>
          <w:szCs w:val="28"/>
        </w:rPr>
        <w:t>（三）业务合规条件</w:t>
      </w:r>
      <w:bookmarkEnd w:id="15"/>
    </w:p>
    <w:p w14:paraId="3DAE587F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 业务范围不与总会章程冲突，聚焦绿色燃料涉外经贸、产业合作、标准对接、市场服务；</w:t>
      </w:r>
    </w:p>
    <w:p w14:paraId="0C23C43E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 无同质化、无重叠业务，突出「绿色燃料跨境出海、国际合规、全球合作」专属差异化定位。</w:t>
      </w:r>
    </w:p>
    <w:p w14:paraId="0A94C5A1">
      <w:pPr>
        <w:spacing w:before="380" w:after="140" w:line="288" w:lineRule="auto"/>
        <w:ind w:left="0"/>
        <w:jc w:val="left"/>
        <w:outlineLvl w:val="0"/>
        <w:rPr>
          <w:rFonts w:hint="eastAsia" w:ascii="宋体" w:hAnsi="宋体" w:eastAsia="宋体" w:cs="宋体"/>
          <w:sz w:val="28"/>
          <w:szCs w:val="28"/>
        </w:rPr>
      </w:pPr>
      <w:bookmarkStart w:id="16" w:name="heading_16"/>
      <w:r>
        <w:rPr>
          <w:rFonts w:hint="eastAsia" w:ascii="宋体" w:hAnsi="宋体" w:eastAsia="宋体" w:cs="宋体"/>
          <w:b/>
          <w:sz w:val="28"/>
          <w:szCs w:val="28"/>
        </w:rPr>
        <w:t>五、全流程落地操作步骤</w:t>
      </w:r>
      <w:bookmarkEnd w:id="16"/>
    </w:p>
    <w:p w14:paraId="44FE398E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17" w:name="heading_17"/>
      <w:r>
        <w:rPr>
          <w:rFonts w:hint="eastAsia" w:ascii="宋体" w:hAnsi="宋体" w:eastAsia="宋体" w:cs="宋体"/>
          <w:b/>
          <w:sz w:val="28"/>
          <w:szCs w:val="28"/>
        </w:rPr>
        <w:t>第一步：前期对接与定位锁定</w:t>
      </w:r>
      <w:bookmarkEnd w:id="17"/>
    </w:p>
    <w:p w14:paraId="1E83B9B8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 对接中国国际商会/贸促会对应行业主管部门，沟通设立专项委员会的可行性，确认业务边界与名称合规性；</w:t>
      </w:r>
    </w:p>
    <w:p w14:paraId="3D6F28CC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 组建发起主席团，锁定龙头发起单位、核心会员储备；</w:t>
      </w:r>
    </w:p>
    <w:p w14:paraId="3CFB0BF0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 明确机构差异化定位，重点突出「全国唯一绿色燃料涉外经贸平台」属性。</w:t>
      </w:r>
    </w:p>
    <w:p w14:paraId="33B3D55B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18" w:name="heading_18"/>
      <w:r>
        <w:rPr>
          <w:rFonts w:hint="eastAsia" w:ascii="宋体" w:hAnsi="宋体" w:eastAsia="宋体" w:cs="宋体"/>
          <w:b/>
          <w:sz w:val="28"/>
          <w:szCs w:val="28"/>
        </w:rPr>
        <w:t>第二步：材料筹备与立项申报</w:t>
      </w:r>
      <w:bookmarkEnd w:id="18"/>
    </w:p>
    <w:p w14:paraId="686EB5FB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筹备全套申报材料：设立申请书、产业可行性报告、发起单位资质材料、拟任负责人简历与资质、办公场所证明、运营方案、会员名单、专项工作章程。重点在可行性报告中论证：产业出海刚需、国际规则空白、现有机构无法覆盖、国家涉外战略价值。</w:t>
      </w:r>
    </w:p>
    <w:p w14:paraId="743F0D52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19" w:name="heading_19"/>
      <w:r>
        <w:rPr>
          <w:rFonts w:hint="eastAsia" w:ascii="宋体" w:hAnsi="宋体" w:eastAsia="宋体" w:cs="宋体"/>
          <w:b/>
          <w:sz w:val="28"/>
          <w:szCs w:val="28"/>
        </w:rPr>
        <w:t>第三步：总会审议与内部公示</w:t>
      </w:r>
      <w:bookmarkEnd w:id="19"/>
    </w:p>
    <w:p w14:paraId="60972B23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提交全套材料至总会秘书处，进入理事会/常务理事会审议流程，通过后开展官方内部公示，无异议后准予筹备设立。</w:t>
      </w:r>
    </w:p>
    <w:p w14:paraId="58CC24C3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20" w:name="heading_20"/>
      <w:r>
        <w:rPr>
          <w:rFonts w:hint="eastAsia" w:ascii="宋体" w:hAnsi="宋体" w:eastAsia="宋体" w:cs="宋体"/>
          <w:b/>
          <w:sz w:val="28"/>
          <w:szCs w:val="28"/>
        </w:rPr>
        <w:t>第四步：备案与正式挂牌</w:t>
      </w:r>
      <w:bookmarkEnd w:id="20"/>
    </w:p>
    <w:p w14:paraId="601223F6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完成民政部分支机构备案、总会正式发文成立，召开成立大会、选举组织机构、正式挂牌运营，获取合法分支机构运营资质。</w:t>
      </w:r>
    </w:p>
    <w:p w14:paraId="069F00B2">
      <w:pPr>
        <w:spacing w:before="380" w:after="140" w:line="288" w:lineRule="auto"/>
        <w:ind w:left="0"/>
        <w:jc w:val="left"/>
        <w:outlineLvl w:val="0"/>
        <w:rPr>
          <w:rFonts w:hint="eastAsia" w:ascii="宋体" w:hAnsi="宋体" w:eastAsia="宋体" w:cs="宋体"/>
          <w:sz w:val="28"/>
          <w:szCs w:val="28"/>
        </w:rPr>
      </w:pPr>
      <w:bookmarkStart w:id="21" w:name="heading_21"/>
      <w:r>
        <w:rPr>
          <w:rFonts w:hint="eastAsia" w:ascii="宋体" w:hAnsi="宋体" w:eastAsia="宋体" w:cs="宋体"/>
          <w:b/>
          <w:sz w:val="28"/>
          <w:szCs w:val="28"/>
        </w:rPr>
        <w:t>六、核心业务职能与差异化服务体系</w:t>
      </w:r>
      <w:bookmarkEnd w:id="21"/>
    </w:p>
    <w:p w14:paraId="68201DD5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依托贸促会独有优势，打造区别于普通行业协会的专属核心业务，形成不可替代的产业价值：</w:t>
      </w:r>
    </w:p>
    <w:p w14:paraId="5BAD822C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22" w:name="heading_22"/>
      <w:r>
        <w:rPr>
          <w:rFonts w:hint="eastAsia" w:ascii="宋体" w:hAnsi="宋体" w:eastAsia="宋体" w:cs="宋体"/>
          <w:b/>
          <w:sz w:val="28"/>
          <w:szCs w:val="28"/>
        </w:rPr>
        <w:t>（一）国际规则与认证对接</w:t>
      </w:r>
      <w:bookmarkEnd w:id="22"/>
    </w:p>
    <w:p w14:paraId="4EB522ED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对接ISCC、RSB等国际绿色燃料认证体系，搭建国内企业认证辅导、合规咨询通道；对接IMO、ICAO国际低碳规则，参与行业涉外规则研讨，助力国内产业抢占全球标准话语权。</w:t>
      </w:r>
    </w:p>
    <w:p w14:paraId="122C4331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23" w:name="heading_23"/>
      <w:r>
        <w:rPr>
          <w:rFonts w:hint="eastAsia" w:ascii="宋体" w:hAnsi="宋体" w:eastAsia="宋体" w:cs="宋体"/>
          <w:b/>
          <w:sz w:val="28"/>
          <w:szCs w:val="28"/>
        </w:rPr>
        <w:t>（二）跨境贸易与出海赋能</w:t>
      </w:r>
      <w:bookmarkEnd w:id="23"/>
    </w:p>
    <w:p w14:paraId="4076DC23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依托贸促会海外网络，开展海外市场准入调研、国别政策解读、跨境招商对接；提供绿色燃料出口合规指导、关税政策咨询、涉外商事调解，解决企业出海贸易壁垒。</w:t>
      </w:r>
    </w:p>
    <w:p w14:paraId="4A2BA891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24" w:name="heading_24"/>
      <w:r>
        <w:rPr>
          <w:rFonts w:hint="eastAsia" w:ascii="宋体" w:hAnsi="宋体" w:eastAsia="宋体" w:cs="宋体"/>
          <w:b/>
          <w:sz w:val="28"/>
          <w:szCs w:val="28"/>
        </w:rPr>
        <w:t>（三）国际产业交流与会展</w:t>
      </w:r>
      <w:bookmarkEnd w:id="24"/>
    </w:p>
    <w:p w14:paraId="1925C7C8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合法举办国际绿色燃料经贸论坛、跨境产业对接会、海外考察交流活动；联动国内外驻华机构、海外行业协会、国际龙头企业，搭建全球产业合作网络。</w:t>
      </w:r>
    </w:p>
    <w:p w14:paraId="17F41916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25" w:name="heading_25"/>
      <w:r>
        <w:rPr>
          <w:rFonts w:hint="eastAsia" w:ascii="宋体" w:hAnsi="宋体" w:eastAsia="宋体" w:cs="宋体"/>
          <w:b/>
          <w:sz w:val="28"/>
          <w:szCs w:val="28"/>
        </w:rPr>
        <w:t>（四）产业研究与政策建言</w:t>
      </w:r>
      <w:bookmarkEnd w:id="25"/>
    </w:p>
    <w:p w14:paraId="5EF6871D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发布绿色燃料跨境贸易白皮书、产业出海报告；梳理产业涉外痛点，向商务部、外交部、能源局等部门提交政策建议，推动国内外标准互认、破除贸易壁垒。</w:t>
      </w:r>
    </w:p>
    <w:p w14:paraId="55B5103A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26" w:name="heading_26"/>
      <w:r>
        <w:rPr>
          <w:rFonts w:hint="eastAsia" w:ascii="宋体" w:hAnsi="宋体" w:eastAsia="宋体" w:cs="宋体"/>
          <w:b/>
          <w:sz w:val="28"/>
          <w:szCs w:val="28"/>
        </w:rPr>
        <w:t>（五）会员服务与行业自律</w:t>
      </w:r>
      <w:bookmarkEnd w:id="26"/>
    </w:p>
    <w:p w14:paraId="4349FFE4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吸纳国内外绿色燃料产业链企业、科研机构、贸易服务商，搭建政企、中外产业沟通桥梁；制定行业涉外经营自律规范，规范出口市场秩序，避免低价内卷、无序竞争。</w:t>
      </w:r>
    </w:p>
    <w:p w14:paraId="55E49829">
      <w:pPr>
        <w:spacing w:before="380" w:after="140" w:line="288" w:lineRule="auto"/>
        <w:ind w:left="0"/>
        <w:jc w:val="left"/>
        <w:outlineLvl w:val="0"/>
        <w:rPr>
          <w:rFonts w:hint="eastAsia" w:ascii="宋体" w:hAnsi="宋体" w:eastAsia="宋体" w:cs="宋体"/>
          <w:sz w:val="28"/>
          <w:szCs w:val="28"/>
        </w:rPr>
      </w:pPr>
      <w:bookmarkStart w:id="27" w:name="heading_27"/>
      <w:r>
        <w:rPr>
          <w:rFonts w:hint="eastAsia" w:ascii="宋体" w:hAnsi="宋体" w:eastAsia="宋体" w:cs="宋体"/>
          <w:b/>
          <w:sz w:val="28"/>
          <w:szCs w:val="28"/>
        </w:rPr>
        <w:t>七、合规红线与运营禁忌（2026新规严格执行）</w:t>
      </w:r>
      <w:bookmarkEnd w:id="27"/>
    </w:p>
    <w:p w14:paraId="27E1039D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1. </w:t>
      </w:r>
      <w:r>
        <w:rPr>
          <w:rFonts w:hint="eastAsia" w:ascii="宋体" w:hAnsi="宋体" w:eastAsia="宋体" w:cs="宋体"/>
          <w:b/>
          <w:sz w:val="28"/>
          <w:szCs w:val="28"/>
        </w:rPr>
        <w:t>名称合规</w:t>
      </w:r>
      <w:r>
        <w:rPr>
          <w:rFonts w:hint="eastAsia" w:ascii="宋体" w:hAnsi="宋体" w:eastAsia="宋体" w:cs="宋体"/>
          <w:sz w:val="28"/>
          <w:szCs w:val="28"/>
        </w:rPr>
        <w:t>：仅可使用“专业委员会、工作委员会”，严禁使用促进会、研究院、联合会等法人化名称，杜绝超范围命名。</w:t>
      </w:r>
    </w:p>
    <w:p w14:paraId="3F50A5FE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2. </w:t>
      </w:r>
      <w:r>
        <w:rPr>
          <w:rFonts w:hint="eastAsia" w:ascii="宋体" w:hAnsi="宋体" w:eastAsia="宋体" w:cs="宋体"/>
          <w:b/>
          <w:sz w:val="28"/>
          <w:szCs w:val="28"/>
        </w:rPr>
        <w:t>层级合规</w:t>
      </w:r>
      <w:r>
        <w:rPr>
          <w:rFonts w:hint="eastAsia" w:ascii="宋体" w:hAnsi="宋体" w:eastAsia="宋体" w:cs="宋体"/>
          <w:sz w:val="28"/>
          <w:szCs w:val="28"/>
        </w:rPr>
        <w:t>：严禁设立三级分支机构，不搞套娃式机构设置，所有人事、财务、活动统一纳入总会监管。</w:t>
      </w:r>
    </w:p>
    <w:p w14:paraId="03539C1C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3. </w:t>
      </w:r>
      <w:r>
        <w:rPr>
          <w:rFonts w:hint="eastAsia" w:ascii="宋体" w:hAnsi="宋体" w:eastAsia="宋体" w:cs="宋体"/>
          <w:b/>
          <w:sz w:val="28"/>
          <w:szCs w:val="28"/>
        </w:rPr>
        <w:t>业务合规</w:t>
      </w:r>
      <w:r>
        <w:rPr>
          <w:rFonts w:hint="eastAsia" w:ascii="宋体" w:hAnsi="宋体" w:eastAsia="宋体" w:cs="宋体"/>
          <w:sz w:val="28"/>
          <w:szCs w:val="28"/>
        </w:rPr>
        <w:t>：聚焦涉外经贸、产业合作、市场服务，不开展行政性评比、违规收费、异地无序设点等违规业务。</w:t>
      </w:r>
    </w:p>
    <w:p w14:paraId="051FCE1D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4. </w:t>
      </w:r>
      <w:r>
        <w:rPr>
          <w:rFonts w:hint="eastAsia" w:ascii="宋体" w:hAnsi="宋体" w:eastAsia="宋体" w:cs="宋体"/>
          <w:b/>
          <w:sz w:val="28"/>
          <w:szCs w:val="28"/>
        </w:rPr>
        <w:t>涉外合规</w:t>
      </w:r>
      <w:r>
        <w:rPr>
          <w:rFonts w:hint="eastAsia" w:ascii="宋体" w:hAnsi="宋体" w:eastAsia="宋体" w:cs="宋体"/>
          <w:sz w:val="28"/>
          <w:szCs w:val="28"/>
        </w:rPr>
        <w:t>：所有涉外活动、外籍会员吸纳、国际合作项目严格遵循国家外事管理规定，全程备案、合规开展，杜绝虚假国际背书、违规涉外活动。</w:t>
      </w:r>
    </w:p>
    <w:p w14:paraId="5BAF03C1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5. </w:t>
      </w:r>
      <w:r>
        <w:rPr>
          <w:rFonts w:hint="eastAsia" w:ascii="宋体" w:hAnsi="宋体" w:eastAsia="宋体" w:cs="宋体"/>
          <w:b/>
          <w:sz w:val="28"/>
          <w:szCs w:val="28"/>
        </w:rPr>
        <w:t>财务合规</w:t>
      </w:r>
      <w:r>
        <w:rPr>
          <w:rFonts w:hint="eastAsia" w:ascii="宋体" w:hAnsi="宋体" w:eastAsia="宋体" w:cs="宋体"/>
          <w:sz w:val="28"/>
          <w:szCs w:val="28"/>
        </w:rPr>
        <w:t>：账户、收费、票据统一由总会规范管理，独立台账、专款专用，接受审计监管。</w:t>
      </w:r>
    </w:p>
    <w:p w14:paraId="4665C678">
      <w:pPr>
        <w:spacing w:before="380" w:after="140" w:line="288" w:lineRule="auto"/>
        <w:ind w:left="0"/>
        <w:jc w:val="left"/>
        <w:outlineLvl w:val="0"/>
        <w:rPr>
          <w:rFonts w:hint="eastAsia" w:ascii="宋体" w:hAnsi="宋体" w:eastAsia="宋体" w:cs="宋体"/>
          <w:sz w:val="28"/>
          <w:szCs w:val="28"/>
        </w:rPr>
      </w:pPr>
      <w:bookmarkStart w:id="28" w:name="heading_28"/>
      <w:r>
        <w:rPr>
          <w:rFonts w:hint="eastAsia" w:ascii="宋体" w:hAnsi="宋体" w:eastAsia="宋体" w:cs="宋体"/>
          <w:b/>
          <w:sz w:val="28"/>
          <w:szCs w:val="28"/>
        </w:rPr>
        <w:t>八、阶梯式进阶发展规划</w:t>
      </w:r>
      <w:bookmarkEnd w:id="28"/>
    </w:p>
    <w:p w14:paraId="7A046888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29" w:name="heading_29"/>
      <w:r>
        <w:rPr>
          <w:rFonts w:hint="eastAsia" w:ascii="宋体" w:hAnsi="宋体" w:eastAsia="宋体" w:cs="宋体"/>
          <w:b/>
          <w:sz w:val="28"/>
          <w:szCs w:val="28"/>
        </w:rPr>
        <w:t>（一）短期（0-6个月）：快速落地起盘</w:t>
      </w:r>
      <w:bookmarkEnd w:id="29"/>
    </w:p>
    <w:p w14:paraId="0A222C2F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完成贸促会/国际商会二级专委会设立，搭建组织架构、储备核心会员，落地首场产业对接活动，初步建立中外产业资源链接，形成官方涉外平台基础资质。</w:t>
      </w:r>
    </w:p>
    <w:p w14:paraId="66A2FC9E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30" w:name="heading_30"/>
      <w:r>
        <w:rPr>
          <w:rFonts w:hint="eastAsia" w:ascii="宋体" w:hAnsi="宋体" w:eastAsia="宋体" w:cs="宋体"/>
          <w:b/>
          <w:sz w:val="28"/>
          <w:szCs w:val="28"/>
        </w:rPr>
        <w:t>（二）中期（6-24个月）：资质与成果沉淀</w:t>
      </w:r>
      <w:bookmarkEnd w:id="30"/>
    </w:p>
    <w:p w14:paraId="0FE1DFAD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常态化开展国际交流、出海赋能、标准对接工作，积累涉外活动成果、外籍合作资源、行业研究成果，打造国内唯一绿色燃料涉外经贸服务标杆平台。</w:t>
      </w:r>
    </w:p>
    <w:p w14:paraId="0576317E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31" w:name="heading_31"/>
      <w:r>
        <w:rPr>
          <w:rFonts w:hint="eastAsia" w:ascii="宋体" w:hAnsi="宋体" w:eastAsia="宋体" w:cs="宋体"/>
          <w:b/>
          <w:sz w:val="28"/>
          <w:szCs w:val="28"/>
        </w:rPr>
        <w:t>（三）长期（2-5年）：高阶升级</w:t>
      </w:r>
      <w:bookmarkEnd w:id="31"/>
    </w:p>
    <w:p w14:paraId="069CDEBB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依托成熟运营成果、全球产业网络、部委认可的涉外服务能力，逐步攻坚更高层级国际合作资质，主导绿色燃料跨境标准互认、全球产业规则对接，打造国家级绿色燃料国际经贸核心平台。</w:t>
      </w:r>
    </w:p>
    <w:p w14:paraId="140585CA">
      <w:pPr>
        <w:spacing w:before="380" w:after="140" w:line="288" w:lineRule="auto"/>
        <w:ind w:left="0"/>
        <w:jc w:val="left"/>
        <w:outlineLvl w:val="0"/>
        <w:rPr>
          <w:rFonts w:hint="eastAsia" w:ascii="宋体" w:hAnsi="宋体" w:eastAsia="宋体" w:cs="宋体"/>
          <w:sz w:val="28"/>
          <w:szCs w:val="28"/>
        </w:rPr>
      </w:pPr>
      <w:bookmarkStart w:id="32" w:name="heading_32"/>
      <w:r>
        <w:rPr>
          <w:rFonts w:hint="eastAsia" w:ascii="宋体" w:hAnsi="宋体" w:eastAsia="宋体" w:cs="宋体"/>
          <w:b/>
          <w:sz w:val="28"/>
          <w:szCs w:val="28"/>
        </w:rPr>
        <w:t>九、方案总结</w:t>
      </w:r>
      <w:bookmarkEnd w:id="32"/>
    </w:p>
    <w:p w14:paraId="527AE37C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在当前2026年社会组织严监管、全国一级协会极难新设的政策背景下，</w:t>
      </w:r>
      <w:r>
        <w:rPr>
          <w:rFonts w:hint="eastAsia" w:ascii="宋体" w:hAnsi="宋体" w:eastAsia="宋体" w:cs="宋体"/>
          <w:b/>
          <w:sz w:val="28"/>
          <w:szCs w:val="28"/>
        </w:rPr>
        <w:t>贸促会体系是绿色燃料产业搭建国家级、涉外型、高公信力行业平台的最优、最稳妥、最高性价比路径</w:t>
      </w:r>
      <w:r>
        <w:rPr>
          <w:rFonts w:hint="eastAsia" w:ascii="宋体" w:hAnsi="宋体" w:eastAsia="宋体" w:cs="宋体"/>
          <w:sz w:val="28"/>
          <w:szCs w:val="28"/>
        </w:rPr>
        <w:t>。既规避了普通一级协会审批难、背书难的核心卡点，又解决了普通协会涉外资质不足、国际公信力弱、出海赋能能力缺失的痛点。</w:t>
      </w:r>
      <w:bookmarkStart w:id="33" w:name="_GoBack"/>
      <w:bookmarkEnd w:id="33"/>
    </w:p>
    <w:p w14:paraId="19F9992F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该方案落地难度低、合规性强、职能精准匹配产业出海刚需、政策红利充足，可快速形成“国内产业规范+全球出海赋能+国际规则对接”的完整服务体系，为绿色燃料产业抢占全球赛道话语权、推动中国标准与产能出海提供核心官方平台支撑。</w:t>
      </w:r>
    </w:p>
    <w:p w14:paraId="2E99EE64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69E3A1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B877B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7168B5"/>
    <w:rsid w:val="748065C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3943</Words>
  <Characters>4029</Characters>
  <TotalTime>21</TotalTime>
  <ScaleCrop>false</ScaleCrop>
  <LinksUpToDate>false</LinksUpToDate>
  <CharactersWithSpaces>4062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2026-08-08T02:26:00Z</dcterms:created>
  <dc:creator>Apache POI</dc:creator>
  <cp:lastModifiedBy>韬能咨询</cp:lastModifiedBy>
  <dcterms:modified xsi:type="dcterms:W3CDTF">2026-08-11T00:36:02Z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{"Label":"1","ContentProducer":"001191110102MACQD9K64010000","ProduceID":"7671481630025370578","ReservedCode1":"","ContentPropagator":"","PropagateID":"","ReservedCode2":""}</vt:lpwstr>
  </property>
  <property fmtid="{D5CDD505-2E9C-101B-9397-08002B2CF9AE}" pid="3" name="KSOProductBuildVer">
    <vt:lpwstr>2052-12.1.0.28043</vt:lpwstr>
  </property>
  <property fmtid="{D5CDD505-2E9C-101B-9397-08002B2CF9AE}" pid="4" name="ICV">
    <vt:lpwstr>87006799F59648678814550722D7071D_13</vt:lpwstr>
  </property>
  <property fmtid="{D5CDD505-2E9C-101B-9397-08002B2CF9AE}" pid="5" name="KSOTemplateDocerSaveRecord">
    <vt:lpwstr>eyJoZGlkIjoiZmRjYWVjMGZkMzcxMDM4Yzg0ZGY5N2RlOThmY2NkZGMiLCJ1c2VySWQiOiIyMzI5MzMyMDgifQ==</vt:lpwstr>
  </property>
</Properties>
</file>