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BE91C">
      <w:pPr>
        <w:spacing w:before="480" w:after="480" w:line="288" w:lineRule="auto"/>
        <w:ind w:left="0"/>
        <w:jc w:val="left"/>
      </w:pPr>
      <w:r>
        <w:rPr>
          <w:rFonts w:ascii="Arial" w:hAnsi="Arial" w:eastAsia="等线" w:cs="Arial"/>
          <w:b/>
          <w:sz w:val="52"/>
        </w:rPr>
        <w:t>韬能科技绿色燃料板块业务拓展方案</w:t>
      </w:r>
    </w:p>
    <w:p w14:paraId="7A96FC55">
      <w:pPr>
        <w:spacing w:before="380" w:after="140" w:line="288" w:lineRule="auto"/>
        <w:ind w:left="0"/>
        <w:jc w:val="left"/>
        <w:outlineLvl w:val="0"/>
      </w:pPr>
      <w:bookmarkStart w:id="0" w:name="heading_0"/>
      <w:bookmarkStart w:id="28" w:name="_GoBack"/>
      <w:bookmarkEnd w:id="28"/>
      <w:r>
        <w:rPr>
          <w:rFonts w:ascii="Arial" w:hAnsi="Arial" w:eastAsia="等线" w:cs="Arial"/>
          <w:color w:val="3370FF"/>
          <w:sz w:val="36"/>
        </w:rPr>
        <w:t xml:space="preserve">1. </w:t>
      </w:r>
      <w:r>
        <w:rPr>
          <w:rFonts w:ascii="Arial" w:hAnsi="Arial" w:eastAsia="等线" w:cs="Arial"/>
          <w:b/>
          <w:sz w:val="36"/>
        </w:rPr>
        <w:t>执行摘要</w:t>
      </w:r>
      <w:bookmarkEnd w:id="0"/>
    </w:p>
    <w:p w14:paraId="74553E92">
      <w:pPr>
        <w:spacing w:before="120" w:after="120" w:line="288" w:lineRule="auto"/>
        <w:ind w:left="0"/>
        <w:jc w:val="left"/>
      </w:pPr>
      <w:r>
        <w:rPr>
          <w:rFonts w:ascii="Arial" w:hAnsi="Arial" w:eastAsia="等线" w:cs="Arial"/>
          <w:sz w:val="22"/>
        </w:rPr>
        <w:t>本方案基于《中国绿色燃料发展报告（2026）》《石油天然气发展"十五五"规划》《"十五五"碳达峰行动方案》（国发〔2026〕22号）三份最新政策文件，结合韬能科技作为中国能源研究会品牌分会孵化企业的轻资产定位，系统梳理绿色燃料板块的业务拓展方向。</w:t>
      </w:r>
    </w:p>
    <w:p w14:paraId="2E394EEB">
      <w:pPr>
        <w:spacing w:before="120" w:after="120" w:line="288" w:lineRule="auto"/>
        <w:ind w:left="0"/>
        <w:jc w:val="left"/>
      </w:pPr>
      <w:r>
        <w:rPr>
          <w:rFonts w:ascii="Arial" w:hAnsi="Arial" w:eastAsia="等线" w:cs="Arial"/>
          <w:b/>
          <w:sz w:val="22"/>
        </w:rPr>
        <w:t>核心判断：</w:t>
      </w:r>
      <w:r>
        <w:rPr>
          <w:rFonts w:ascii="Arial" w:hAnsi="Arial" w:eastAsia="等线" w:cs="Arial"/>
          <w:sz w:val="22"/>
        </w:rPr>
        <w:t>"十五五"是我国绿色燃料产业的培育发展期，2026年是开局之年。当前产业处于政策密集出台、试点加速推进、标准体系建立、成本仍偏高（为化石燃料1.5—2倍）的早期阶段，</w:t>
      </w:r>
      <w:r>
        <w:rPr>
          <w:rFonts w:ascii="Arial" w:hAnsi="Arial" w:eastAsia="等线" w:cs="Arial"/>
          <w:b/>
          <w:sz w:val="22"/>
        </w:rPr>
        <w:t>轻资产咨询与技术服务是最佳切入窗口</w:t>
      </w:r>
      <w:r>
        <w:rPr>
          <w:rFonts w:ascii="Arial" w:hAnsi="Arial" w:eastAsia="等线" w:cs="Arial"/>
          <w:sz w:val="22"/>
        </w:rPr>
        <w:t>——重资产投资尚未到规模化回报期，而产业链各方对政策解读、规划咨询、标准认证、技术选型、资源对接的需求正在集中释放。</w:t>
      </w:r>
    </w:p>
    <w:p w14:paraId="0091D177">
      <w:pPr>
        <w:spacing w:before="120" w:after="120" w:line="288" w:lineRule="auto"/>
        <w:ind w:left="0"/>
        <w:jc w:val="left"/>
      </w:pPr>
      <w:r>
        <w:rPr>
          <w:rFonts w:ascii="Arial" w:hAnsi="Arial" w:eastAsia="等线" w:cs="Arial"/>
          <w:b/>
          <w:sz w:val="22"/>
        </w:rPr>
        <w:t>业务定位：</w:t>
      </w:r>
      <w:r>
        <w:rPr>
          <w:rFonts w:ascii="Arial" w:hAnsi="Arial" w:eastAsia="等线" w:cs="Arial"/>
          <w:sz w:val="22"/>
        </w:rPr>
        <w:t>韬能科技绿色燃料板块定位为"绿色燃料产业轻资产综合服务商"，不参与项目投资与工程建设，聚焦</w:t>
      </w:r>
      <w:r>
        <w:rPr>
          <w:rFonts w:ascii="Arial" w:hAnsi="Arial" w:eastAsia="等线" w:cs="Arial"/>
          <w:b/>
          <w:sz w:val="22"/>
        </w:rPr>
        <w:t>咨询规划、标准认证、技术服务、资源对接、智能化运维</w:t>
      </w:r>
      <w:r>
        <w:rPr>
          <w:rFonts w:ascii="Arial" w:hAnsi="Arial" w:eastAsia="等线" w:cs="Arial"/>
          <w:sz w:val="22"/>
        </w:rPr>
        <w:t>五大方向，依托品牌分会的政策研究、专家智库、标准制定、产业链资源和品牌传播能力，为上游投资企业、中游建设企业、下游运维及消纳企业提供全链条智力服务。</w:t>
      </w:r>
    </w:p>
    <w:p w14:paraId="6AAF4227">
      <w:pPr>
        <w:spacing w:before="120" w:after="120" w:line="288" w:lineRule="auto"/>
        <w:ind w:left="0"/>
        <w:jc w:val="left"/>
      </w:pPr>
      <w:r>
        <w:rPr>
          <w:rFonts w:ascii="Arial" w:hAnsi="Arial" w:eastAsia="等线" w:cs="Arial"/>
          <w:b/>
          <w:sz w:val="22"/>
        </w:rPr>
        <w:t>拓展路径：</w:t>
      </w:r>
      <w:r>
        <w:rPr>
          <w:rFonts w:ascii="Arial" w:hAnsi="Arial" w:eastAsia="等线" w:cs="Arial"/>
          <w:sz w:val="22"/>
        </w:rPr>
        <w:t>以核心业务（前期规划咨询、标准与认证咨询、政策研究与战略规划）快速建立现金流和行业影响力；以增值业务（产业链对接、投融资服务、人才培训、品牌推广）提升客单价和利润空间；以未来方向（智能化平台、交易认证服务、国际市场服务、零碳园区解决方案）构建中长期护城河。</w:t>
      </w:r>
    </w:p>
    <w:p w14:paraId="22503076">
      <w:pPr>
        <w:spacing w:before="380" w:after="140" w:line="288" w:lineRule="auto"/>
        <w:ind w:left="0"/>
        <w:jc w:val="left"/>
        <w:outlineLvl w:val="0"/>
      </w:pPr>
      <w:bookmarkStart w:id="1" w:name="heading_1"/>
      <w:r>
        <w:rPr>
          <w:rFonts w:ascii="Arial" w:hAnsi="Arial" w:eastAsia="等线" w:cs="Arial"/>
          <w:color w:val="3370FF"/>
          <w:sz w:val="36"/>
        </w:rPr>
        <w:t xml:space="preserve">2. </w:t>
      </w:r>
      <w:r>
        <w:rPr>
          <w:rFonts w:ascii="Arial" w:hAnsi="Arial" w:eastAsia="等线" w:cs="Arial"/>
          <w:b/>
          <w:sz w:val="36"/>
        </w:rPr>
        <w:t>政策与市场机遇分析</w:t>
      </w:r>
      <w:bookmarkEnd w:id="1"/>
    </w:p>
    <w:p w14:paraId="54741A57">
      <w:pPr>
        <w:spacing w:before="320" w:after="120" w:line="288" w:lineRule="auto"/>
        <w:ind w:left="0"/>
        <w:jc w:val="left"/>
        <w:outlineLvl w:val="1"/>
      </w:pPr>
      <w:bookmarkStart w:id="2" w:name="heading_2"/>
      <w:r>
        <w:rPr>
          <w:rFonts w:ascii="Arial" w:hAnsi="Arial" w:eastAsia="等线" w:cs="Arial"/>
          <w:color w:val="3370FF"/>
          <w:sz w:val="32"/>
        </w:rPr>
        <w:t xml:space="preserve">2.1 </w:t>
      </w:r>
      <w:r>
        <w:rPr>
          <w:rFonts w:ascii="Arial" w:hAnsi="Arial" w:eastAsia="等线" w:cs="Arial"/>
          <w:b/>
          <w:sz w:val="32"/>
        </w:rPr>
        <w:t>三份政策文件核心要点</w:t>
      </w:r>
      <w:bookmarkEnd w:id="2"/>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815"/>
        <w:gridCol w:w="3225"/>
        <w:gridCol w:w="3225"/>
      </w:tblGrid>
      <w:tr w14:paraId="24F54BA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15" w:type="dxa"/>
            <w:tcMar>
              <w:top w:w="60" w:type="dxa"/>
              <w:left w:w="120" w:type="dxa"/>
              <w:bottom w:w="30" w:type="dxa"/>
              <w:right w:w="120" w:type="dxa"/>
            </w:tcMar>
          </w:tcPr>
          <w:p w14:paraId="3575ABF6">
            <w:pPr>
              <w:spacing w:before="120" w:after="120" w:line="288" w:lineRule="auto"/>
              <w:ind w:left="0"/>
              <w:jc w:val="left"/>
            </w:pPr>
            <w:r>
              <w:rPr>
                <w:rFonts w:ascii="Arial" w:hAnsi="Arial" w:eastAsia="等线" w:cs="Arial"/>
                <w:sz w:val="22"/>
              </w:rPr>
              <w:t>政策文件</w:t>
            </w:r>
          </w:p>
        </w:tc>
        <w:tc>
          <w:tcPr>
            <w:tcW w:w="3225" w:type="dxa"/>
            <w:tcMar>
              <w:top w:w="60" w:type="dxa"/>
              <w:left w:w="120" w:type="dxa"/>
              <w:bottom w:w="30" w:type="dxa"/>
              <w:right w:w="120" w:type="dxa"/>
            </w:tcMar>
          </w:tcPr>
          <w:p w14:paraId="38D13FAC">
            <w:pPr>
              <w:spacing w:before="120" w:after="120" w:line="288" w:lineRule="auto"/>
              <w:ind w:left="0"/>
              <w:jc w:val="left"/>
            </w:pPr>
            <w:r>
              <w:rPr>
                <w:rFonts w:ascii="Arial" w:hAnsi="Arial" w:eastAsia="等线" w:cs="Arial"/>
                <w:sz w:val="22"/>
              </w:rPr>
              <w:t>绿色燃料相关核心部署</w:t>
            </w:r>
          </w:p>
        </w:tc>
        <w:tc>
          <w:tcPr>
            <w:tcW w:w="3225" w:type="dxa"/>
            <w:tcMar>
              <w:top w:w="60" w:type="dxa"/>
              <w:left w:w="120" w:type="dxa"/>
              <w:bottom w:w="30" w:type="dxa"/>
              <w:right w:w="120" w:type="dxa"/>
            </w:tcMar>
          </w:tcPr>
          <w:p w14:paraId="0286B8F8">
            <w:pPr>
              <w:spacing w:before="120" w:after="120" w:line="288" w:lineRule="auto"/>
              <w:ind w:left="0"/>
              <w:jc w:val="left"/>
            </w:pPr>
            <w:r>
              <w:rPr>
                <w:rFonts w:ascii="Arial" w:hAnsi="Arial" w:eastAsia="等线" w:cs="Arial"/>
                <w:sz w:val="22"/>
              </w:rPr>
              <w:t>对韬能科技的机会信号</w:t>
            </w:r>
          </w:p>
        </w:tc>
      </w:tr>
      <w:tr w14:paraId="196F6A8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15" w:type="dxa"/>
            <w:tcMar>
              <w:top w:w="60" w:type="dxa"/>
              <w:left w:w="120" w:type="dxa"/>
              <w:bottom w:w="30" w:type="dxa"/>
              <w:right w:w="120" w:type="dxa"/>
            </w:tcMar>
          </w:tcPr>
          <w:p w14:paraId="73DA3B9A">
            <w:pPr>
              <w:spacing w:before="120" w:after="120" w:line="288" w:lineRule="auto"/>
              <w:ind w:left="0"/>
              <w:jc w:val="left"/>
            </w:pPr>
            <w:r>
              <w:rPr>
                <w:rFonts w:ascii="Arial" w:hAnsi="Arial" w:eastAsia="等线" w:cs="Arial"/>
                <w:b/>
                <w:sz w:val="22"/>
              </w:rPr>
              <w:t>《中国绿色燃料发展报告（2026）》</w:t>
            </w:r>
            <w:r>
              <w:rPr>
                <w:rFonts w:ascii="Arial" w:hAnsi="Arial" w:eastAsia="等线" w:cs="Arial"/>
                <w:sz w:val="22"/>
              </w:rPr>
              <w:br w:type="textWrapping"/>
            </w:r>
            <w:r>
              <w:rPr>
                <w:rFonts w:ascii="Arial" w:hAnsi="Arial" w:eastAsia="等线" w:cs="Arial"/>
                <w:sz w:val="22"/>
              </w:rPr>
              <w:t>（国家能源局等编著）</w:t>
            </w:r>
          </w:p>
        </w:tc>
        <w:tc>
          <w:tcPr>
            <w:tcW w:w="3225" w:type="dxa"/>
            <w:tcMar>
              <w:top w:w="60" w:type="dxa"/>
              <w:left w:w="120" w:type="dxa"/>
              <w:bottom w:w="30" w:type="dxa"/>
              <w:right w:w="120" w:type="dxa"/>
            </w:tcMar>
          </w:tcPr>
          <w:p w14:paraId="61C5F75C">
            <w:pPr>
              <w:spacing w:before="120" w:after="120" w:line="288" w:lineRule="auto"/>
              <w:ind w:left="0"/>
              <w:jc w:val="left"/>
            </w:pPr>
            <w:r>
              <w:rPr>
                <w:rFonts w:ascii="Arial" w:hAnsi="Arial" w:eastAsia="等线" w:cs="Arial"/>
                <w:sz w:val="22"/>
              </w:rPr>
              <w:t>首次系统发布绿色燃料发展报告；明确绿色甲醇、绿色合成氨、绿色航煤、生物乙醇、生物柴油、生物天然气六大品类；2025年出台《绿色甲醇》（NB/T 11968）、《绿色合成氨》（NB/T 11967）行业标准，分三级降碳强度（70%/50%/30%）；提出五大发展方向：系统谋划、试点先行、创新引领、优化环境、需求牵引</w:t>
            </w:r>
          </w:p>
        </w:tc>
        <w:tc>
          <w:tcPr>
            <w:tcW w:w="3225" w:type="dxa"/>
            <w:tcMar>
              <w:top w:w="60" w:type="dxa"/>
              <w:left w:w="120" w:type="dxa"/>
              <w:bottom w:w="30" w:type="dxa"/>
              <w:right w:w="120" w:type="dxa"/>
            </w:tcMar>
          </w:tcPr>
          <w:p w14:paraId="7115EE38">
            <w:pPr>
              <w:spacing w:before="120" w:after="120" w:line="288" w:lineRule="auto"/>
              <w:ind w:left="0"/>
              <w:jc w:val="left"/>
            </w:pPr>
            <w:r>
              <w:rPr>
                <w:rFonts w:ascii="Arial" w:hAnsi="Arial" w:eastAsia="等线" w:cs="Arial"/>
                <w:sz w:val="22"/>
              </w:rPr>
              <w:t>标准体系正在建立，认证咨询需求集中释放；试点项目申报辅导有明确市场；CCER绿色燃料方法学正在研究，方法学开发与项目申报是蓝海；国际市场政策（IMO/ICAO/欧盟）研究有专业壁垒</w:t>
            </w:r>
          </w:p>
        </w:tc>
      </w:tr>
      <w:tr w14:paraId="4B6B9B7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15" w:type="dxa"/>
            <w:tcMar>
              <w:top w:w="60" w:type="dxa"/>
              <w:left w:w="120" w:type="dxa"/>
              <w:bottom w:w="30" w:type="dxa"/>
              <w:right w:w="120" w:type="dxa"/>
            </w:tcMar>
          </w:tcPr>
          <w:p w14:paraId="3EA6616D">
            <w:pPr>
              <w:spacing w:before="120" w:after="120" w:line="288" w:lineRule="auto"/>
              <w:ind w:left="0"/>
              <w:jc w:val="left"/>
            </w:pPr>
            <w:r>
              <w:rPr>
                <w:rFonts w:ascii="Arial" w:hAnsi="Arial" w:eastAsia="等线" w:cs="Arial"/>
                <w:b/>
                <w:sz w:val="22"/>
              </w:rPr>
              <w:t>《石油天然气发展"十五五"规划》</w:t>
            </w:r>
          </w:p>
        </w:tc>
        <w:tc>
          <w:tcPr>
            <w:tcW w:w="3225" w:type="dxa"/>
            <w:tcMar>
              <w:top w:w="60" w:type="dxa"/>
              <w:left w:w="120" w:type="dxa"/>
              <w:bottom w:w="30" w:type="dxa"/>
              <w:right w:w="120" w:type="dxa"/>
            </w:tcMar>
          </w:tcPr>
          <w:p w14:paraId="2B8D0F7A">
            <w:pPr>
              <w:spacing w:before="120" w:after="120" w:line="288" w:lineRule="auto"/>
              <w:ind w:left="0"/>
              <w:jc w:val="left"/>
            </w:pPr>
            <w:r>
              <w:rPr>
                <w:rFonts w:ascii="Arial" w:hAnsi="Arial" w:eastAsia="等线" w:cs="Arial"/>
                <w:sz w:val="22"/>
              </w:rPr>
              <w:t>明确"支持绿色燃料发展，补充替代传统石油产品"；提出"油气与氢氨醇储运体系相融合"；探索利用低负荷成品油管道输送甲醇；推进乌兰察布—京津冀输氢管道（1200公里）；天然气掺氢输送先行先试；2030年CCS/CCUS年注入CO₂达1000万吨；加快绿色燃料国际贸易认证标准建设</w:t>
            </w:r>
          </w:p>
        </w:tc>
        <w:tc>
          <w:tcPr>
            <w:tcW w:w="3225" w:type="dxa"/>
            <w:tcMar>
              <w:top w:w="60" w:type="dxa"/>
              <w:left w:w="120" w:type="dxa"/>
              <w:bottom w:w="30" w:type="dxa"/>
              <w:right w:w="120" w:type="dxa"/>
            </w:tcMar>
          </w:tcPr>
          <w:p w14:paraId="6F61994A">
            <w:pPr>
              <w:spacing w:before="120" w:after="120" w:line="288" w:lineRule="auto"/>
              <w:ind w:left="0"/>
              <w:jc w:val="left"/>
            </w:pPr>
            <w:r>
              <w:rPr>
                <w:rFonts w:ascii="Arial" w:hAnsi="Arial" w:eastAsia="等线" w:cs="Arial"/>
                <w:sz w:val="22"/>
              </w:rPr>
              <w:t>油气设施转型咨询（炼厂"油转化"、老旧管道改输甲醇/氢气、枯竭油气藏储氢）是新增市场；绿色燃料国际贸易认证服务有政策背书；CCUS与绿色燃料耦合项目咨询需求增长</w:t>
            </w:r>
          </w:p>
        </w:tc>
      </w:tr>
      <w:tr w14:paraId="5C3F679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15" w:type="dxa"/>
            <w:tcMar>
              <w:top w:w="60" w:type="dxa"/>
              <w:left w:w="120" w:type="dxa"/>
              <w:bottom w:w="30" w:type="dxa"/>
              <w:right w:w="120" w:type="dxa"/>
            </w:tcMar>
          </w:tcPr>
          <w:p w14:paraId="6F289ADA">
            <w:pPr>
              <w:spacing w:before="120" w:after="120" w:line="288" w:lineRule="auto"/>
              <w:ind w:left="0"/>
              <w:jc w:val="left"/>
            </w:pPr>
            <w:r>
              <w:rPr>
                <w:rFonts w:ascii="Arial" w:hAnsi="Arial" w:eastAsia="等线" w:cs="Arial"/>
                <w:b/>
                <w:sz w:val="22"/>
              </w:rPr>
              <w:t>《"十五五"碳达峰行动方案》</w:t>
            </w:r>
            <w:r>
              <w:rPr>
                <w:rFonts w:ascii="Arial" w:hAnsi="Arial" w:eastAsia="等线" w:cs="Arial"/>
                <w:sz w:val="22"/>
              </w:rPr>
              <w:br w:type="textWrapping"/>
            </w:r>
            <w:r>
              <w:rPr>
                <w:rFonts w:ascii="Arial" w:hAnsi="Arial" w:eastAsia="等线" w:cs="Arial"/>
                <w:sz w:val="22"/>
              </w:rPr>
              <w:t>（国发〔2026〕22号）</w:t>
            </w:r>
          </w:p>
        </w:tc>
        <w:tc>
          <w:tcPr>
            <w:tcW w:w="3225" w:type="dxa"/>
            <w:tcMar>
              <w:top w:w="60" w:type="dxa"/>
              <w:left w:w="120" w:type="dxa"/>
              <w:bottom w:w="30" w:type="dxa"/>
              <w:right w:w="120" w:type="dxa"/>
            </w:tcMar>
          </w:tcPr>
          <w:p w14:paraId="6D273CA5">
            <w:pPr>
              <w:spacing w:before="120" w:after="120" w:line="288" w:lineRule="auto"/>
              <w:ind w:left="0"/>
              <w:jc w:val="left"/>
            </w:pPr>
            <w:r>
              <w:rPr>
                <w:rFonts w:ascii="Arial" w:hAnsi="Arial" w:eastAsia="等线" w:cs="Arial"/>
                <w:sz w:val="22"/>
              </w:rPr>
              <w:t>2030年单位GDP CO₂排放比2025年降17%，非化石能源占比25%；"布局建设风光氢氨醇一体化基地"；"积极推进绿色氢氨醇、生物柴油、可持续航空燃料等绿色燃料应用"；"完善绿色氢氨醇加注等补能设施"；"依托重点港口建设绿色燃料加注中心和交易中心"；建设100个国家级零碳园区、500个零碳工厂；设立国家低碳转型基金；碳市场逐步覆盖石化、化工行业</w:t>
            </w:r>
          </w:p>
        </w:tc>
        <w:tc>
          <w:tcPr>
            <w:tcW w:w="3225" w:type="dxa"/>
            <w:tcMar>
              <w:top w:w="60" w:type="dxa"/>
              <w:left w:w="120" w:type="dxa"/>
              <w:bottom w:w="30" w:type="dxa"/>
              <w:right w:w="120" w:type="dxa"/>
            </w:tcMar>
          </w:tcPr>
          <w:p w14:paraId="7B17CAAE">
            <w:pPr>
              <w:spacing w:before="120" w:after="120" w:line="288" w:lineRule="auto"/>
              <w:ind w:left="0"/>
              <w:jc w:val="left"/>
            </w:pPr>
            <w:r>
              <w:rPr>
                <w:rFonts w:ascii="Arial" w:hAnsi="Arial" w:eastAsia="等线" w:cs="Arial"/>
                <w:sz w:val="22"/>
              </w:rPr>
              <w:t>风光氢氨醇一体化基地规划咨询需求明确；零碳园区/零碳工厂绿色燃料解决方案是增量市场；国家低碳转型基金申报辅导有需求；碳市场扩容带动碳足迹核算与碳管理服务需求</w:t>
            </w:r>
          </w:p>
        </w:tc>
      </w:tr>
    </w:tbl>
    <w:p w14:paraId="2265DA53">
      <w:pPr>
        <w:spacing w:before="320" w:after="120" w:line="288" w:lineRule="auto"/>
        <w:ind w:left="0"/>
        <w:jc w:val="left"/>
        <w:outlineLvl w:val="1"/>
      </w:pPr>
      <w:bookmarkStart w:id="3" w:name="heading_3"/>
      <w:r>
        <w:rPr>
          <w:rFonts w:ascii="Arial" w:hAnsi="Arial" w:eastAsia="等线" w:cs="Arial"/>
          <w:color w:val="3370FF"/>
          <w:sz w:val="32"/>
        </w:rPr>
        <w:t xml:space="preserve">2.2 </w:t>
      </w:r>
      <w:r>
        <w:rPr>
          <w:rFonts w:ascii="Arial" w:hAnsi="Arial" w:eastAsia="等线" w:cs="Arial"/>
          <w:b/>
          <w:sz w:val="32"/>
        </w:rPr>
        <w:t>市场规模与增长预测</w:t>
      </w:r>
      <w:bookmarkEnd w:id="3"/>
    </w:p>
    <w:p w14:paraId="6DA6B963">
      <w:pPr>
        <w:spacing w:before="120" w:after="120" w:line="288" w:lineRule="auto"/>
        <w:ind w:left="0"/>
        <w:jc w:val="left"/>
      </w:pPr>
      <w:r>
        <w:rPr>
          <w:rFonts w:ascii="Arial" w:hAnsi="Arial" w:eastAsia="等线" w:cs="Arial"/>
          <w:sz w:val="22"/>
        </w:rPr>
        <w:t>截至2025年底，我国已建成绿色燃料产能合计约</w:t>
      </w:r>
      <w:r>
        <w:rPr>
          <w:rFonts w:ascii="Arial" w:hAnsi="Arial" w:eastAsia="等线" w:cs="Arial"/>
          <w:b/>
          <w:sz w:val="22"/>
        </w:rPr>
        <w:t>800万吨/年油当量</w:t>
      </w:r>
      <w:r>
        <w:rPr>
          <w:rFonts w:ascii="Arial" w:hAnsi="Arial" w:eastAsia="等线" w:cs="Arial"/>
          <w:sz w:val="22"/>
        </w:rPr>
        <w:t>，各品类产能如下：</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20"/>
        <w:gridCol w:w="1410"/>
        <w:gridCol w:w="1410"/>
        <w:gridCol w:w="3840"/>
      </w:tblGrid>
      <w:tr w14:paraId="7350AB8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20" w:type="dxa"/>
            <w:tcMar>
              <w:top w:w="60" w:type="dxa"/>
              <w:left w:w="120" w:type="dxa"/>
              <w:bottom w:w="30" w:type="dxa"/>
              <w:right w:w="120" w:type="dxa"/>
            </w:tcMar>
          </w:tcPr>
          <w:p w14:paraId="5B21AD78">
            <w:pPr>
              <w:spacing w:before="120" w:after="120" w:line="288" w:lineRule="auto"/>
              <w:ind w:left="0"/>
              <w:jc w:val="left"/>
            </w:pPr>
            <w:r>
              <w:rPr>
                <w:rFonts w:ascii="Arial" w:hAnsi="Arial" w:eastAsia="等线" w:cs="Arial"/>
                <w:sz w:val="22"/>
              </w:rPr>
              <w:t>品类</w:t>
            </w:r>
          </w:p>
        </w:tc>
        <w:tc>
          <w:tcPr>
            <w:tcW w:w="1410" w:type="dxa"/>
            <w:tcMar>
              <w:top w:w="60" w:type="dxa"/>
              <w:left w:w="120" w:type="dxa"/>
              <w:bottom w:w="30" w:type="dxa"/>
              <w:right w:w="120" w:type="dxa"/>
            </w:tcMar>
          </w:tcPr>
          <w:p w14:paraId="5D75B0BC">
            <w:pPr>
              <w:spacing w:before="120" w:after="120" w:line="288" w:lineRule="auto"/>
              <w:ind w:left="0"/>
              <w:jc w:val="left"/>
            </w:pPr>
            <w:r>
              <w:rPr>
                <w:rFonts w:ascii="Arial" w:hAnsi="Arial" w:eastAsia="等线" w:cs="Arial"/>
                <w:sz w:val="22"/>
              </w:rPr>
              <w:t>中国产能（2025）</w:t>
            </w:r>
          </w:p>
        </w:tc>
        <w:tc>
          <w:tcPr>
            <w:tcW w:w="1410" w:type="dxa"/>
            <w:tcMar>
              <w:top w:w="60" w:type="dxa"/>
              <w:left w:w="120" w:type="dxa"/>
              <w:bottom w:w="30" w:type="dxa"/>
              <w:right w:w="120" w:type="dxa"/>
            </w:tcMar>
          </w:tcPr>
          <w:p w14:paraId="7850594E">
            <w:pPr>
              <w:spacing w:before="120" w:after="120" w:line="288" w:lineRule="auto"/>
              <w:ind w:left="0"/>
              <w:jc w:val="left"/>
            </w:pPr>
            <w:r>
              <w:rPr>
                <w:rFonts w:ascii="Arial" w:hAnsi="Arial" w:eastAsia="等线" w:cs="Arial"/>
                <w:sz w:val="22"/>
              </w:rPr>
              <w:t>全球地位</w:t>
            </w:r>
          </w:p>
        </w:tc>
        <w:tc>
          <w:tcPr>
            <w:tcW w:w="3840" w:type="dxa"/>
            <w:tcMar>
              <w:top w:w="60" w:type="dxa"/>
              <w:left w:w="120" w:type="dxa"/>
              <w:bottom w:w="30" w:type="dxa"/>
              <w:right w:w="120" w:type="dxa"/>
            </w:tcMar>
          </w:tcPr>
          <w:p w14:paraId="43BC5E39">
            <w:pPr>
              <w:spacing w:before="120" w:after="120" w:line="288" w:lineRule="auto"/>
              <w:ind w:left="0"/>
              <w:jc w:val="left"/>
            </w:pPr>
            <w:r>
              <w:rPr>
                <w:rFonts w:ascii="Arial" w:hAnsi="Arial" w:eastAsia="等线" w:cs="Arial"/>
                <w:sz w:val="22"/>
              </w:rPr>
              <w:t>技术路线与特点</w:t>
            </w:r>
          </w:p>
        </w:tc>
      </w:tr>
      <w:tr w14:paraId="3916838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20" w:type="dxa"/>
            <w:tcMar>
              <w:top w:w="60" w:type="dxa"/>
              <w:left w:w="120" w:type="dxa"/>
              <w:bottom w:w="30" w:type="dxa"/>
              <w:right w:w="120" w:type="dxa"/>
            </w:tcMar>
          </w:tcPr>
          <w:p w14:paraId="7E45CD3A">
            <w:pPr>
              <w:spacing w:before="120" w:after="120" w:line="288" w:lineRule="auto"/>
              <w:ind w:left="0"/>
              <w:jc w:val="left"/>
            </w:pPr>
            <w:r>
              <w:rPr>
                <w:rFonts w:ascii="Arial" w:hAnsi="Arial" w:eastAsia="等线" w:cs="Arial"/>
                <w:sz w:val="22"/>
              </w:rPr>
              <w:t>绿色甲醇</w:t>
            </w:r>
          </w:p>
        </w:tc>
        <w:tc>
          <w:tcPr>
            <w:tcW w:w="1410" w:type="dxa"/>
            <w:tcMar>
              <w:top w:w="60" w:type="dxa"/>
              <w:left w:w="120" w:type="dxa"/>
              <w:bottom w:w="30" w:type="dxa"/>
              <w:right w:w="120" w:type="dxa"/>
            </w:tcMar>
          </w:tcPr>
          <w:p w14:paraId="7EAA21B5">
            <w:pPr>
              <w:spacing w:before="120" w:after="120" w:line="288" w:lineRule="auto"/>
              <w:ind w:left="0"/>
              <w:jc w:val="left"/>
            </w:pPr>
            <w:r>
              <w:rPr>
                <w:rFonts w:ascii="Arial" w:hAnsi="Arial" w:eastAsia="等线" w:cs="Arial"/>
                <w:sz w:val="22"/>
              </w:rPr>
              <w:t>约38万吨/年</w:t>
            </w:r>
          </w:p>
        </w:tc>
        <w:tc>
          <w:tcPr>
            <w:tcW w:w="1410" w:type="dxa"/>
            <w:tcMar>
              <w:top w:w="60" w:type="dxa"/>
              <w:left w:w="120" w:type="dxa"/>
              <w:bottom w:w="30" w:type="dxa"/>
              <w:right w:w="120" w:type="dxa"/>
            </w:tcMar>
          </w:tcPr>
          <w:p w14:paraId="197A56DB">
            <w:pPr>
              <w:spacing w:before="120" w:after="120" w:line="288" w:lineRule="auto"/>
              <w:ind w:left="0"/>
              <w:jc w:val="left"/>
            </w:pPr>
            <w:r>
              <w:rPr>
                <w:rFonts w:ascii="Arial" w:hAnsi="Arial" w:eastAsia="等线" w:cs="Arial"/>
                <w:sz w:val="22"/>
              </w:rPr>
              <w:t>占全球60.3%</w:t>
            </w:r>
          </w:p>
        </w:tc>
        <w:tc>
          <w:tcPr>
            <w:tcW w:w="3840" w:type="dxa"/>
            <w:tcMar>
              <w:top w:w="60" w:type="dxa"/>
              <w:left w:w="120" w:type="dxa"/>
              <w:bottom w:w="30" w:type="dxa"/>
              <w:right w:w="120" w:type="dxa"/>
            </w:tcMar>
          </w:tcPr>
          <w:p w14:paraId="47FA491C">
            <w:pPr>
              <w:spacing w:before="120" w:after="120" w:line="288" w:lineRule="auto"/>
              <w:ind w:left="0"/>
              <w:jc w:val="left"/>
            </w:pPr>
            <w:r>
              <w:rPr>
                <w:rFonts w:ascii="Arial" w:hAnsi="Arial" w:eastAsia="等线" w:cs="Arial"/>
                <w:sz w:val="22"/>
              </w:rPr>
              <w:t>生物质气化（耦合绿氢）、沼气/生物天然气重整；6个项目，分布东北、华东、华南</w:t>
            </w:r>
          </w:p>
        </w:tc>
      </w:tr>
      <w:tr w14:paraId="6B4663F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20" w:type="dxa"/>
            <w:tcMar>
              <w:top w:w="60" w:type="dxa"/>
              <w:left w:w="120" w:type="dxa"/>
              <w:bottom w:w="30" w:type="dxa"/>
              <w:right w:w="120" w:type="dxa"/>
            </w:tcMar>
          </w:tcPr>
          <w:p w14:paraId="03128EA9">
            <w:pPr>
              <w:spacing w:before="120" w:after="120" w:line="288" w:lineRule="auto"/>
              <w:ind w:left="0"/>
              <w:jc w:val="left"/>
            </w:pPr>
            <w:r>
              <w:rPr>
                <w:rFonts w:ascii="Arial" w:hAnsi="Arial" w:eastAsia="等线" w:cs="Arial"/>
                <w:sz w:val="22"/>
              </w:rPr>
              <w:t>绿色合成氨</w:t>
            </w:r>
          </w:p>
        </w:tc>
        <w:tc>
          <w:tcPr>
            <w:tcW w:w="1410" w:type="dxa"/>
            <w:tcMar>
              <w:top w:w="60" w:type="dxa"/>
              <w:left w:w="120" w:type="dxa"/>
              <w:bottom w:w="30" w:type="dxa"/>
              <w:right w:w="120" w:type="dxa"/>
            </w:tcMar>
          </w:tcPr>
          <w:p w14:paraId="75EC666A">
            <w:pPr>
              <w:spacing w:before="120" w:after="120" w:line="288" w:lineRule="auto"/>
              <w:ind w:left="0"/>
              <w:jc w:val="left"/>
            </w:pPr>
            <w:r>
              <w:rPr>
                <w:rFonts w:ascii="Arial" w:hAnsi="Arial" w:eastAsia="等线" w:cs="Arial"/>
                <w:sz w:val="22"/>
              </w:rPr>
              <w:t>约70万吨/年</w:t>
            </w:r>
          </w:p>
        </w:tc>
        <w:tc>
          <w:tcPr>
            <w:tcW w:w="1410" w:type="dxa"/>
            <w:tcMar>
              <w:top w:w="60" w:type="dxa"/>
              <w:left w:w="120" w:type="dxa"/>
              <w:bottom w:w="30" w:type="dxa"/>
              <w:right w:w="120" w:type="dxa"/>
            </w:tcMar>
          </w:tcPr>
          <w:p w14:paraId="05C72604">
            <w:pPr>
              <w:spacing w:before="120" w:after="120" w:line="288" w:lineRule="auto"/>
              <w:ind w:left="0"/>
              <w:jc w:val="left"/>
            </w:pPr>
            <w:r>
              <w:rPr>
                <w:rFonts w:ascii="Arial" w:hAnsi="Arial" w:eastAsia="等线" w:cs="Arial"/>
                <w:sz w:val="22"/>
              </w:rPr>
              <w:t>占全球约80%</w:t>
            </w:r>
          </w:p>
        </w:tc>
        <w:tc>
          <w:tcPr>
            <w:tcW w:w="3840" w:type="dxa"/>
            <w:tcMar>
              <w:top w:w="60" w:type="dxa"/>
              <w:left w:w="120" w:type="dxa"/>
              <w:bottom w:w="30" w:type="dxa"/>
              <w:right w:w="120" w:type="dxa"/>
            </w:tcMar>
          </w:tcPr>
          <w:p w14:paraId="35F71846">
            <w:pPr>
              <w:spacing w:before="120" w:after="120" w:line="288" w:lineRule="auto"/>
              <w:ind w:left="0"/>
              <w:jc w:val="left"/>
            </w:pPr>
            <w:r>
              <w:rPr>
                <w:rFonts w:ascii="Arial" w:hAnsi="Arial" w:eastAsia="等线" w:cs="Arial"/>
                <w:sz w:val="22"/>
              </w:rPr>
              <w:t>柔性绿色合成氨技术已工业化；3个项目，集中东北地区</w:t>
            </w:r>
          </w:p>
        </w:tc>
      </w:tr>
      <w:tr w14:paraId="20EAB7A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20" w:type="dxa"/>
            <w:tcMar>
              <w:top w:w="60" w:type="dxa"/>
              <w:left w:w="120" w:type="dxa"/>
              <w:bottom w:w="30" w:type="dxa"/>
              <w:right w:w="120" w:type="dxa"/>
            </w:tcMar>
          </w:tcPr>
          <w:p w14:paraId="1CDC1371">
            <w:pPr>
              <w:spacing w:before="120" w:after="120" w:line="288" w:lineRule="auto"/>
              <w:ind w:left="0"/>
              <w:jc w:val="left"/>
            </w:pPr>
            <w:r>
              <w:rPr>
                <w:rFonts w:ascii="Arial" w:hAnsi="Arial" w:eastAsia="等线" w:cs="Arial"/>
                <w:sz w:val="22"/>
              </w:rPr>
              <w:t>绿色航空燃料</w:t>
            </w:r>
          </w:p>
        </w:tc>
        <w:tc>
          <w:tcPr>
            <w:tcW w:w="1410" w:type="dxa"/>
            <w:tcMar>
              <w:top w:w="60" w:type="dxa"/>
              <w:left w:w="120" w:type="dxa"/>
              <w:bottom w:w="30" w:type="dxa"/>
              <w:right w:w="120" w:type="dxa"/>
            </w:tcMar>
          </w:tcPr>
          <w:p w14:paraId="690819EB">
            <w:pPr>
              <w:spacing w:before="120" w:after="120" w:line="288" w:lineRule="auto"/>
              <w:ind w:left="0"/>
              <w:jc w:val="left"/>
            </w:pPr>
            <w:r>
              <w:rPr>
                <w:rFonts w:ascii="Arial" w:hAnsi="Arial" w:eastAsia="等线" w:cs="Arial"/>
                <w:sz w:val="22"/>
              </w:rPr>
              <w:t>约170万吨/年</w:t>
            </w:r>
          </w:p>
        </w:tc>
        <w:tc>
          <w:tcPr>
            <w:tcW w:w="1410" w:type="dxa"/>
            <w:tcMar>
              <w:top w:w="60" w:type="dxa"/>
              <w:left w:w="120" w:type="dxa"/>
              <w:bottom w:w="30" w:type="dxa"/>
              <w:right w:w="120" w:type="dxa"/>
            </w:tcMar>
          </w:tcPr>
          <w:p w14:paraId="78AD0B1F">
            <w:pPr>
              <w:spacing w:before="120" w:after="120" w:line="288" w:lineRule="auto"/>
              <w:ind w:left="0"/>
              <w:jc w:val="left"/>
            </w:pPr>
            <w:r>
              <w:rPr>
                <w:rFonts w:ascii="Arial" w:hAnsi="Arial" w:eastAsia="等线" w:cs="Arial"/>
                <w:sz w:val="22"/>
              </w:rPr>
              <w:t>全球产能580万吨/年</w:t>
            </w:r>
          </w:p>
        </w:tc>
        <w:tc>
          <w:tcPr>
            <w:tcW w:w="3840" w:type="dxa"/>
            <w:tcMar>
              <w:top w:w="60" w:type="dxa"/>
              <w:left w:w="120" w:type="dxa"/>
              <w:bottom w:w="30" w:type="dxa"/>
              <w:right w:w="120" w:type="dxa"/>
            </w:tcMar>
          </w:tcPr>
          <w:p w14:paraId="3D641BD4">
            <w:pPr>
              <w:spacing w:before="120" w:after="120" w:line="288" w:lineRule="auto"/>
              <w:ind w:left="0"/>
              <w:jc w:val="left"/>
            </w:pPr>
            <w:r>
              <w:rPr>
                <w:rFonts w:ascii="Arial" w:hAnsi="Arial" w:eastAsia="等线" w:cs="Arial"/>
                <w:sz w:val="22"/>
              </w:rPr>
              <w:t>全部采用废弃油脂加氢（HEFA）路线；G+FT、ATJ、PtL路线在研</w:t>
            </w:r>
          </w:p>
        </w:tc>
      </w:tr>
      <w:tr w14:paraId="3046D1B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20" w:type="dxa"/>
            <w:tcMar>
              <w:top w:w="60" w:type="dxa"/>
              <w:left w:w="120" w:type="dxa"/>
              <w:bottom w:w="30" w:type="dxa"/>
              <w:right w:w="120" w:type="dxa"/>
            </w:tcMar>
          </w:tcPr>
          <w:p w14:paraId="691672DB">
            <w:pPr>
              <w:spacing w:before="120" w:after="120" w:line="288" w:lineRule="auto"/>
              <w:ind w:left="0"/>
              <w:jc w:val="left"/>
            </w:pPr>
            <w:r>
              <w:rPr>
                <w:rFonts w:ascii="Arial" w:hAnsi="Arial" w:eastAsia="等线" w:cs="Arial"/>
                <w:sz w:val="22"/>
              </w:rPr>
              <w:t>生物燃料乙醇</w:t>
            </w:r>
          </w:p>
        </w:tc>
        <w:tc>
          <w:tcPr>
            <w:tcW w:w="1410" w:type="dxa"/>
            <w:tcMar>
              <w:top w:w="60" w:type="dxa"/>
              <w:left w:w="120" w:type="dxa"/>
              <w:bottom w:w="30" w:type="dxa"/>
              <w:right w:w="120" w:type="dxa"/>
            </w:tcMar>
          </w:tcPr>
          <w:p w14:paraId="180EBC12">
            <w:pPr>
              <w:spacing w:before="120" w:after="120" w:line="288" w:lineRule="auto"/>
              <w:ind w:left="0"/>
              <w:jc w:val="left"/>
            </w:pPr>
            <w:r>
              <w:rPr>
                <w:rFonts w:ascii="Arial" w:hAnsi="Arial" w:eastAsia="等线" w:cs="Arial"/>
                <w:sz w:val="22"/>
              </w:rPr>
              <w:t>约530万吨/年</w:t>
            </w:r>
          </w:p>
        </w:tc>
        <w:tc>
          <w:tcPr>
            <w:tcW w:w="1410" w:type="dxa"/>
            <w:tcMar>
              <w:top w:w="60" w:type="dxa"/>
              <w:left w:w="120" w:type="dxa"/>
              <w:bottom w:w="30" w:type="dxa"/>
              <w:right w:w="120" w:type="dxa"/>
            </w:tcMar>
          </w:tcPr>
          <w:p w14:paraId="79D63CC8">
            <w:pPr>
              <w:spacing w:before="120" w:after="120" w:line="288" w:lineRule="auto"/>
              <w:ind w:left="0"/>
              <w:jc w:val="left"/>
            </w:pPr>
            <w:r>
              <w:rPr>
                <w:rFonts w:ascii="Arial" w:hAnsi="Arial" w:eastAsia="等线" w:cs="Arial"/>
                <w:sz w:val="22"/>
              </w:rPr>
              <w:t>全球第三</w:t>
            </w:r>
          </w:p>
        </w:tc>
        <w:tc>
          <w:tcPr>
            <w:tcW w:w="3840" w:type="dxa"/>
            <w:tcMar>
              <w:top w:w="60" w:type="dxa"/>
              <w:left w:w="120" w:type="dxa"/>
              <w:bottom w:w="30" w:type="dxa"/>
              <w:right w:w="120" w:type="dxa"/>
            </w:tcMar>
          </w:tcPr>
          <w:p w14:paraId="27A0ABAC">
            <w:pPr>
              <w:spacing w:before="120" w:after="120" w:line="288" w:lineRule="auto"/>
              <w:ind w:left="0"/>
              <w:jc w:val="left"/>
            </w:pPr>
            <w:r>
              <w:rPr>
                <w:rFonts w:ascii="Arial" w:hAnsi="Arial" w:eastAsia="等线" w:cs="Arial"/>
                <w:sz w:val="22"/>
              </w:rPr>
              <w:t>以玉米、木薯第一代工艺为主；二代纤维素、三代微藻在攻关</w:t>
            </w:r>
          </w:p>
        </w:tc>
      </w:tr>
      <w:tr w14:paraId="31D9FB2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20" w:type="dxa"/>
            <w:tcMar>
              <w:top w:w="60" w:type="dxa"/>
              <w:left w:w="120" w:type="dxa"/>
              <w:bottom w:w="30" w:type="dxa"/>
              <w:right w:w="120" w:type="dxa"/>
            </w:tcMar>
          </w:tcPr>
          <w:p w14:paraId="2EBCB281">
            <w:pPr>
              <w:spacing w:before="120" w:after="120" w:line="288" w:lineRule="auto"/>
              <w:ind w:left="0"/>
              <w:jc w:val="left"/>
            </w:pPr>
            <w:r>
              <w:rPr>
                <w:rFonts w:ascii="Arial" w:hAnsi="Arial" w:eastAsia="等线" w:cs="Arial"/>
                <w:sz w:val="22"/>
              </w:rPr>
              <w:t>生物柴油</w:t>
            </w:r>
          </w:p>
        </w:tc>
        <w:tc>
          <w:tcPr>
            <w:tcW w:w="1410" w:type="dxa"/>
            <w:tcMar>
              <w:top w:w="60" w:type="dxa"/>
              <w:left w:w="120" w:type="dxa"/>
              <w:bottom w:w="30" w:type="dxa"/>
              <w:right w:w="120" w:type="dxa"/>
            </w:tcMar>
          </w:tcPr>
          <w:p w14:paraId="22334F76">
            <w:pPr>
              <w:spacing w:before="120" w:after="120" w:line="288" w:lineRule="auto"/>
              <w:ind w:left="0"/>
              <w:jc w:val="left"/>
            </w:pPr>
            <w:r>
              <w:rPr>
                <w:rFonts w:ascii="Arial" w:hAnsi="Arial" w:eastAsia="等线" w:cs="Arial"/>
                <w:sz w:val="22"/>
              </w:rPr>
              <w:t>约300万吨/年</w:t>
            </w:r>
          </w:p>
        </w:tc>
        <w:tc>
          <w:tcPr>
            <w:tcW w:w="1410" w:type="dxa"/>
            <w:tcMar>
              <w:top w:w="60" w:type="dxa"/>
              <w:left w:w="120" w:type="dxa"/>
              <w:bottom w:w="30" w:type="dxa"/>
              <w:right w:w="120" w:type="dxa"/>
            </w:tcMar>
          </w:tcPr>
          <w:p w14:paraId="3B417F37">
            <w:pPr>
              <w:spacing w:before="120" w:after="120" w:line="288" w:lineRule="auto"/>
              <w:ind w:left="0"/>
              <w:jc w:val="left"/>
            </w:pPr>
            <w:r>
              <w:rPr>
                <w:rFonts w:ascii="Arial" w:hAnsi="Arial" w:eastAsia="等线" w:cs="Arial"/>
                <w:sz w:val="22"/>
              </w:rPr>
              <w:t>全球主要生产国</w:t>
            </w:r>
          </w:p>
        </w:tc>
        <w:tc>
          <w:tcPr>
            <w:tcW w:w="3840" w:type="dxa"/>
            <w:tcMar>
              <w:top w:w="60" w:type="dxa"/>
              <w:left w:w="120" w:type="dxa"/>
              <w:bottom w:w="30" w:type="dxa"/>
              <w:right w:w="120" w:type="dxa"/>
            </w:tcMar>
          </w:tcPr>
          <w:p w14:paraId="728E7881">
            <w:pPr>
              <w:spacing w:before="120" w:after="120" w:line="288" w:lineRule="auto"/>
              <w:ind w:left="0"/>
              <w:jc w:val="left"/>
            </w:pPr>
            <w:r>
              <w:rPr>
                <w:rFonts w:ascii="Arial" w:hAnsi="Arial" w:eastAsia="等线" w:cs="Arial"/>
                <w:sz w:val="22"/>
              </w:rPr>
              <w:t>酯交换、脱氧加氢两种工艺；分布华北、长三角、东南沿海</w:t>
            </w:r>
          </w:p>
        </w:tc>
      </w:tr>
      <w:tr w14:paraId="44BA956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20" w:type="dxa"/>
            <w:tcMar>
              <w:top w:w="60" w:type="dxa"/>
              <w:left w:w="120" w:type="dxa"/>
              <w:bottom w:w="30" w:type="dxa"/>
              <w:right w:w="120" w:type="dxa"/>
            </w:tcMar>
          </w:tcPr>
          <w:p w14:paraId="4704C8DF">
            <w:pPr>
              <w:spacing w:before="120" w:after="120" w:line="288" w:lineRule="auto"/>
              <w:ind w:left="0"/>
              <w:jc w:val="left"/>
            </w:pPr>
            <w:r>
              <w:rPr>
                <w:rFonts w:ascii="Arial" w:hAnsi="Arial" w:eastAsia="等线" w:cs="Arial"/>
                <w:sz w:val="22"/>
              </w:rPr>
              <w:t>生物天然气</w:t>
            </w:r>
          </w:p>
        </w:tc>
        <w:tc>
          <w:tcPr>
            <w:tcW w:w="1410" w:type="dxa"/>
            <w:tcMar>
              <w:top w:w="60" w:type="dxa"/>
              <w:left w:w="120" w:type="dxa"/>
              <w:bottom w:w="30" w:type="dxa"/>
              <w:right w:w="120" w:type="dxa"/>
            </w:tcMar>
          </w:tcPr>
          <w:p w14:paraId="0E7A93DB">
            <w:pPr>
              <w:spacing w:before="120" w:after="120" w:line="288" w:lineRule="auto"/>
              <w:ind w:left="0"/>
              <w:jc w:val="left"/>
            </w:pPr>
            <w:r>
              <w:rPr>
                <w:rFonts w:ascii="Arial" w:hAnsi="Arial" w:eastAsia="等线" w:cs="Arial"/>
                <w:sz w:val="22"/>
              </w:rPr>
              <w:t>约10亿立方米/年</w:t>
            </w:r>
          </w:p>
        </w:tc>
        <w:tc>
          <w:tcPr>
            <w:tcW w:w="1410" w:type="dxa"/>
            <w:tcMar>
              <w:top w:w="60" w:type="dxa"/>
              <w:left w:w="120" w:type="dxa"/>
              <w:bottom w:w="30" w:type="dxa"/>
              <w:right w:w="120" w:type="dxa"/>
            </w:tcMar>
          </w:tcPr>
          <w:p w14:paraId="3C2D933B">
            <w:pPr>
              <w:spacing w:before="120" w:after="120" w:line="288" w:lineRule="auto"/>
              <w:ind w:left="0"/>
              <w:jc w:val="left"/>
            </w:pPr>
            <w:r>
              <w:rPr>
                <w:rFonts w:ascii="Arial" w:hAnsi="Arial" w:eastAsia="等线" w:cs="Arial"/>
                <w:sz w:val="22"/>
              </w:rPr>
              <w:t>快速增长期</w:t>
            </w:r>
          </w:p>
        </w:tc>
        <w:tc>
          <w:tcPr>
            <w:tcW w:w="3840" w:type="dxa"/>
            <w:tcMar>
              <w:top w:w="60" w:type="dxa"/>
              <w:left w:w="120" w:type="dxa"/>
              <w:bottom w:w="30" w:type="dxa"/>
              <w:right w:w="120" w:type="dxa"/>
            </w:tcMar>
          </w:tcPr>
          <w:p w14:paraId="0639B4EC">
            <w:pPr>
              <w:spacing w:before="120" w:after="120" w:line="288" w:lineRule="auto"/>
              <w:ind w:left="0"/>
              <w:jc w:val="left"/>
            </w:pPr>
            <w:r>
              <w:rPr>
                <w:rFonts w:ascii="Arial" w:hAnsi="Arial" w:eastAsia="等线" w:cs="Arial"/>
                <w:sz w:val="22"/>
              </w:rPr>
              <w:t>146个项目，中温湿式发酵为主；与天然气管网兼容性强</w:t>
            </w:r>
          </w:p>
        </w:tc>
      </w:tr>
    </w:tbl>
    <w:p w14:paraId="3EA56EC4">
      <w:pPr>
        <w:spacing w:before="120" w:after="120" w:line="288" w:lineRule="auto"/>
        <w:ind w:left="0"/>
        <w:jc w:val="left"/>
      </w:pPr>
      <w:r>
        <w:rPr>
          <w:rFonts w:ascii="Arial" w:hAnsi="Arial" w:eastAsia="等线" w:cs="Arial"/>
          <w:b/>
          <w:sz w:val="22"/>
        </w:rPr>
        <w:t>需求侧预测：</w:t>
      </w:r>
      <w:r>
        <w:rPr>
          <w:rFonts w:ascii="Arial" w:hAnsi="Arial" w:eastAsia="等线" w:cs="Arial"/>
          <w:sz w:val="22"/>
        </w:rPr>
        <w:t>据国际能源署、挪威船级社、ICAO等多方预测，到2030年全球绿色航空燃料需求约800万—1600万吨油当量，全球船用绿色燃料需求约500万—1000万吨油当量；到2050年全球绿色航煤需求约1.8亿—2亿吨油当量，船用绿色燃料需求约1.4亿—1.8亿吨油当量。欧盟已强制要求2025年SAF掺混率不低于2%、2030年达6%、2050年达70%；IMO要求2030年零/近零排放燃料占比至少5%。</w:t>
      </w:r>
    </w:p>
    <w:p w14:paraId="4C6DF474">
      <w:pPr>
        <w:spacing w:before="320" w:after="120" w:line="288" w:lineRule="auto"/>
        <w:ind w:left="0"/>
        <w:jc w:val="left"/>
        <w:outlineLvl w:val="1"/>
      </w:pPr>
      <w:bookmarkStart w:id="4" w:name="heading_4"/>
      <w:r>
        <w:rPr>
          <w:rFonts w:ascii="Arial" w:hAnsi="Arial" w:eastAsia="等线" w:cs="Arial"/>
          <w:color w:val="3370FF"/>
          <w:sz w:val="32"/>
        </w:rPr>
        <w:t xml:space="preserve">2.3 </w:t>
      </w:r>
      <w:r>
        <w:rPr>
          <w:rFonts w:ascii="Arial" w:hAnsi="Arial" w:eastAsia="等线" w:cs="Arial"/>
          <w:b/>
          <w:sz w:val="32"/>
        </w:rPr>
        <w:t>产业链核心痛点与轻资产机会</w:t>
      </w:r>
      <w:bookmarkEnd w:id="4"/>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410"/>
        <w:gridCol w:w="3435"/>
        <w:gridCol w:w="3435"/>
      </w:tblGrid>
      <w:tr w14:paraId="379C0FC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410" w:type="dxa"/>
            <w:tcMar>
              <w:top w:w="60" w:type="dxa"/>
              <w:left w:w="120" w:type="dxa"/>
              <w:bottom w:w="30" w:type="dxa"/>
              <w:right w:w="120" w:type="dxa"/>
            </w:tcMar>
          </w:tcPr>
          <w:p w14:paraId="2B7DD044">
            <w:pPr>
              <w:spacing w:before="120" w:after="120" w:line="288" w:lineRule="auto"/>
              <w:ind w:left="0"/>
              <w:jc w:val="left"/>
            </w:pPr>
            <w:r>
              <w:rPr>
                <w:rFonts w:ascii="Arial" w:hAnsi="Arial" w:eastAsia="等线" w:cs="Arial"/>
                <w:sz w:val="22"/>
              </w:rPr>
              <w:t>产业链环节</w:t>
            </w:r>
          </w:p>
        </w:tc>
        <w:tc>
          <w:tcPr>
            <w:tcW w:w="3435" w:type="dxa"/>
            <w:tcMar>
              <w:top w:w="60" w:type="dxa"/>
              <w:left w:w="120" w:type="dxa"/>
              <w:bottom w:w="30" w:type="dxa"/>
              <w:right w:w="120" w:type="dxa"/>
            </w:tcMar>
          </w:tcPr>
          <w:p w14:paraId="011A69BE">
            <w:pPr>
              <w:spacing w:before="120" w:after="120" w:line="288" w:lineRule="auto"/>
              <w:ind w:left="0"/>
              <w:jc w:val="left"/>
            </w:pPr>
            <w:r>
              <w:rPr>
                <w:rFonts w:ascii="Arial" w:hAnsi="Arial" w:eastAsia="等线" w:cs="Arial"/>
                <w:sz w:val="22"/>
              </w:rPr>
              <w:t>核心痛点</w:t>
            </w:r>
          </w:p>
        </w:tc>
        <w:tc>
          <w:tcPr>
            <w:tcW w:w="3435" w:type="dxa"/>
            <w:tcMar>
              <w:top w:w="60" w:type="dxa"/>
              <w:left w:w="120" w:type="dxa"/>
              <w:bottom w:w="30" w:type="dxa"/>
              <w:right w:w="120" w:type="dxa"/>
            </w:tcMar>
          </w:tcPr>
          <w:p w14:paraId="0254F8E1">
            <w:pPr>
              <w:spacing w:before="120" w:after="120" w:line="288" w:lineRule="auto"/>
              <w:ind w:left="0"/>
              <w:jc w:val="left"/>
            </w:pPr>
            <w:r>
              <w:rPr>
                <w:rFonts w:ascii="Arial" w:hAnsi="Arial" w:eastAsia="等线" w:cs="Arial"/>
                <w:sz w:val="22"/>
              </w:rPr>
              <w:t>韬能科技轻资产服务机会</w:t>
            </w:r>
          </w:p>
        </w:tc>
      </w:tr>
      <w:tr w14:paraId="62D1A60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410" w:type="dxa"/>
            <w:tcMar>
              <w:top w:w="60" w:type="dxa"/>
              <w:left w:w="120" w:type="dxa"/>
              <w:bottom w:w="30" w:type="dxa"/>
              <w:right w:w="120" w:type="dxa"/>
            </w:tcMar>
          </w:tcPr>
          <w:p w14:paraId="3305EDE7">
            <w:pPr>
              <w:spacing w:before="120" w:after="120" w:line="288" w:lineRule="auto"/>
              <w:ind w:left="0"/>
              <w:jc w:val="left"/>
            </w:pPr>
            <w:r>
              <w:rPr>
                <w:rFonts w:ascii="Arial" w:hAnsi="Arial" w:eastAsia="等线" w:cs="Arial"/>
                <w:b/>
                <w:sz w:val="22"/>
              </w:rPr>
              <w:t>上游（投资/规划）</w:t>
            </w:r>
          </w:p>
        </w:tc>
        <w:tc>
          <w:tcPr>
            <w:tcW w:w="3435" w:type="dxa"/>
            <w:tcMar>
              <w:top w:w="60" w:type="dxa"/>
              <w:left w:w="120" w:type="dxa"/>
              <w:bottom w:w="30" w:type="dxa"/>
              <w:right w:w="120" w:type="dxa"/>
            </w:tcMar>
          </w:tcPr>
          <w:p w14:paraId="2A26B003">
            <w:pPr>
              <w:spacing w:before="120" w:after="120" w:line="288" w:lineRule="auto"/>
              <w:ind w:left="0"/>
              <w:jc w:val="left"/>
            </w:pPr>
            <w:r>
              <w:rPr>
                <w:rFonts w:ascii="Arial" w:hAnsi="Arial" w:eastAsia="等线" w:cs="Arial"/>
                <w:sz w:val="22"/>
              </w:rPr>
              <w:t>政策变化快、技术路线选择难、项目经济性不确定、绿电/绿氢/CO₂资源匹配复杂、试点申报门槛高</w:t>
            </w:r>
          </w:p>
        </w:tc>
        <w:tc>
          <w:tcPr>
            <w:tcW w:w="3435" w:type="dxa"/>
            <w:tcMar>
              <w:top w:w="60" w:type="dxa"/>
              <w:left w:w="120" w:type="dxa"/>
              <w:bottom w:w="30" w:type="dxa"/>
              <w:right w:w="120" w:type="dxa"/>
            </w:tcMar>
          </w:tcPr>
          <w:p w14:paraId="595AD1BA">
            <w:pPr>
              <w:spacing w:before="120" w:after="120" w:line="288" w:lineRule="auto"/>
              <w:ind w:left="0"/>
              <w:jc w:val="left"/>
            </w:pPr>
            <w:r>
              <w:rPr>
                <w:rFonts w:ascii="Arial" w:hAnsi="Arial" w:eastAsia="等线" w:cs="Arial"/>
                <w:sz w:val="22"/>
              </w:rPr>
              <w:t>项目可研与技术路线选型、政策解读与试点申报辅导、风光氢氨醇一体化基地规划、经济性分析与商业模式设计</w:t>
            </w:r>
          </w:p>
        </w:tc>
      </w:tr>
      <w:tr w14:paraId="3B50930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410" w:type="dxa"/>
            <w:tcMar>
              <w:top w:w="60" w:type="dxa"/>
              <w:left w:w="120" w:type="dxa"/>
              <w:bottom w:w="30" w:type="dxa"/>
              <w:right w:w="120" w:type="dxa"/>
            </w:tcMar>
          </w:tcPr>
          <w:p w14:paraId="7FDE9AC1">
            <w:pPr>
              <w:spacing w:before="120" w:after="120" w:line="288" w:lineRule="auto"/>
              <w:ind w:left="0"/>
              <w:jc w:val="left"/>
            </w:pPr>
            <w:r>
              <w:rPr>
                <w:rFonts w:ascii="Arial" w:hAnsi="Arial" w:eastAsia="等线" w:cs="Arial"/>
                <w:b/>
                <w:sz w:val="22"/>
              </w:rPr>
              <w:t>中游（建设/装备）</w:t>
            </w:r>
          </w:p>
        </w:tc>
        <w:tc>
          <w:tcPr>
            <w:tcW w:w="3435" w:type="dxa"/>
            <w:tcMar>
              <w:top w:w="60" w:type="dxa"/>
              <w:left w:w="120" w:type="dxa"/>
              <w:bottom w:w="30" w:type="dxa"/>
              <w:right w:w="120" w:type="dxa"/>
            </w:tcMar>
          </w:tcPr>
          <w:p w14:paraId="6F9AB1E3">
            <w:pPr>
              <w:spacing w:before="120" w:after="120" w:line="288" w:lineRule="auto"/>
              <w:ind w:left="0"/>
              <w:jc w:val="left"/>
            </w:pPr>
            <w:r>
              <w:rPr>
                <w:rFonts w:ascii="Arial" w:hAnsi="Arial" w:eastAsia="等线" w:cs="Arial"/>
                <w:sz w:val="22"/>
              </w:rPr>
              <w:t>技术装备国产化不足、标准不统一、工程经验缺乏、供应链协同难、质量管控体系不完善</w:t>
            </w:r>
          </w:p>
        </w:tc>
        <w:tc>
          <w:tcPr>
            <w:tcW w:w="3435" w:type="dxa"/>
            <w:tcMar>
              <w:top w:w="60" w:type="dxa"/>
              <w:left w:w="120" w:type="dxa"/>
              <w:bottom w:w="30" w:type="dxa"/>
              <w:right w:w="120" w:type="dxa"/>
            </w:tcMar>
          </w:tcPr>
          <w:p w14:paraId="4C188CFC">
            <w:pPr>
              <w:spacing w:before="120" w:after="120" w:line="288" w:lineRule="auto"/>
              <w:ind w:left="0"/>
              <w:jc w:val="left"/>
            </w:pPr>
            <w:r>
              <w:rPr>
                <w:rFonts w:ascii="Arial" w:hAnsi="Arial" w:eastAsia="等线" w:cs="Arial"/>
                <w:sz w:val="22"/>
              </w:rPr>
              <w:t>技术路线评估与装备选型咨询、标准体系建设咨询、工程技术顾问（不做EPC）、供应链资源对接</w:t>
            </w:r>
          </w:p>
        </w:tc>
      </w:tr>
      <w:tr w14:paraId="48ED986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410" w:type="dxa"/>
            <w:tcMar>
              <w:top w:w="60" w:type="dxa"/>
              <w:left w:w="120" w:type="dxa"/>
              <w:bottom w:w="30" w:type="dxa"/>
              <w:right w:w="120" w:type="dxa"/>
            </w:tcMar>
          </w:tcPr>
          <w:p w14:paraId="7C021DFC">
            <w:pPr>
              <w:spacing w:before="120" w:after="120" w:line="288" w:lineRule="auto"/>
              <w:ind w:left="0"/>
              <w:jc w:val="left"/>
            </w:pPr>
            <w:r>
              <w:rPr>
                <w:rFonts w:ascii="Arial" w:hAnsi="Arial" w:eastAsia="等线" w:cs="Arial"/>
                <w:b/>
                <w:sz w:val="22"/>
              </w:rPr>
              <w:t>下游（运维/消纳）</w:t>
            </w:r>
          </w:p>
        </w:tc>
        <w:tc>
          <w:tcPr>
            <w:tcW w:w="3435" w:type="dxa"/>
            <w:tcMar>
              <w:top w:w="60" w:type="dxa"/>
              <w:left w:w="120" w:type="dxa"/>
              <w:bottom w:w="30" w:type="dxa"/>
              <w:right w:w="120" w:type="dxa"/>
            </w:tcMar>
          </w:tcPr>
          <w:p w14:paraId="30E35DA8">
            <w:pPr>
              <w:spacing w:before="120" w:after="120" w:line="288" w:lineRule="auto"/>
              <w:ind w:left="0"/>
              <w:jc w:val="left"/>
            </w:pPr>
            <w:r>
              <w:rPr>
                <w:rFonts w:ascii="Arial" w:hAnsi="Arial" w:eastAsia="等线" w:cs="Arial"/>
                <w:sz w:val="22"/>
              </w:rPr>
              <w:t>加注基础设施不足、消纳市场不确定、碳价值实现机制不健全、国际市场准入壁垒高、运维智能化水平低</w:t>
            </w:r>
          </w:p>
        </w:tc>
        <w:tc>
          <w:tcPr>
            <w:tcW w:w="3435" w:type="dxa"/>
            <w:tcMar>
              <w:top w:w="60" w:type="dxa"/>
              <w:left w:w="120" w:type="dxa"/>
              <w:bottom w:w="30" w:type="dxa"/>
              <w:right w:w="120" w:type="dxa"/>
            </w:tcMar>
          </w:tcPr>
          <w:p w14:paraId="757647E1">
            <w:pPr>
              <w:spacing w:before="120" w:after="120" w:line="288" w:lineRule="auto"/>
              <w:ind w:left="0"/>
              <w:jc w:val="left"/>
            </w:pPr>
            <w:r>
              <w:rPr>
                <w:rFonts w:ascii="Arial" w:hAnsi="Arial" w:eastAsia="等线" w:cs="Arial"/>
                <w:sz w:val="22"/>
              </w:rPr>
              <w:t>加注中心/交易中心规划咨询、碳足迹核算与CCER申报、国际市场准入与标准互认服务、智能化轻量级运维平台</w:t>
            </w:r>
          </w:p>
        </w:tc>
      </w:tr>
      <w:tr w14:paraId="78E0104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410" w:type="dxa"/>
            <w:tcMar>
              <w:top w:w="60" w:type="dxa"/>
              <w:left w:w="120" w:type="dxa"/>
              <w:bottom w:w="30" w:type="dxa"/>
              <w:right w:w="120" w:type="dxa"/>
            </w:tcMar>
          </w:tcPr>
          <w:p w14:paraId="215F4B6A">
            <w:pPr>
              <w:spacing w:before="120" w:after="120" w:line="288" w:lineRule="auto"/>
              <w:ind w:left="0"/>
              <w:jc w:val="left"/>
            </w:pPr>
            <w:r>
              <w:rPr>
                <w:rFonts w:ascii="Arial" w:hAnsi="Arial" w:eastAsia="等线" w:cs="Arial"/>
                <w:b/>
                <w:sz w:val="22"/>
              </w:rPr>
              <w:t>全链条</w:t>
            </w:r>
          </w:p>
        </w:tc>
        <w:tc>
          <w:tcPr>
            <w:tcW w:w="3435" w:type="dxa"/>
            <w:tcMar>
              <w:top w:w="60" w:type="dxa"/>
              <w:left w:w="120" w:type="dxa"/>
              <w:bottom w:w="30" w:type="dxa"/>
              <w:right w:w="120" w:type="dxa"/>
            </w:tcMar>
          </w:tcPr>
          <w:p w14:paraId="3165A8FF">
            <w:pPr>
              <w:spacing w:before="120" w:after="120" w:line="288" w:lineRule="auto"/>
              <w:ind w:left="0"/>
              <w:jc w:val="left"/>
            </w:pPr>
            <w:r>
              <w:rPr>
                <w:rFonts w:ascii="Arial" w:hAnsi="Arial" w:eastAsia="等线" w:cs="Arial"/>
                <w:sz w:val="22"/>
              </w:rPr>
              <w:t>人才短缺、品牌影响力不足、投融资渠道不畅、数据与信息不对称</w:t>
            </w:r>
          </w:p>
        </w:tc>
        <w:tc>
          <w:tcPr>
            <w:tcW w:w="3435" w:type="dxa"/>
            <w:tcMar>
              <w:top w:w="60" w:type="dxa"/>
              <w:left w:w="120" w:type="dxa"/>
              <w:bottom w:w="30" w:type="dxa"/>
              <w:right w:w="120" w:type="dxa"/>
            </w:tcMar>
          </w:tcPr>
          <w:p w14:paraId="1D1E5956">
            <w:pPr>
              <w:spacing w:before="120" w:after="120" w:line="288" w:lineRule="auto"/>
              <w:ind w:left="0"/>
              <w:jc w:val="left"/>
            </w:pPr>
            <w:r>
              <w:rPr>
                <w:rFonts w:ascii="Arial" w:hAnsi="Arial" w:eastAsia="等线" w:cs="Arial"/>
                <w:sz w:val="22"/>
              </w:rPr>
              <w:t>人才培训与认证、品牌推广与市场准入协助、投融资对接、产业数据平台与信息服务</w:t>
            </w:r>
          </w:p>
        </w:tc>
      </w:tr>
    </w:tbl>
    <w:p w14:paraId="5CA23FB6">
      <w:pPr>
        <w:spacing w:before="380" w:after="140" w:line="288" w:lineRule="auto"/>
        <w:ind w:left="0"/>
        <w:jc w:val="left"/>
        <w:outlineLvl w:val="0"/>
      </w:pPr>
      <w:bookmarkStart w:id="5" w:name="heading_5"/>
      <w:r>
        <w:rPr>
          <w:rFonts w:ascii="Arial" w:hAnsi="Arial" w:eastAsia="等线" w:cs="Arial"/>
          <w:color w:val="3370FF"/>
          <w:sz w:val="36"/>
        </w:rPr>
        <w:t xml:space="preserve">3. </w:t>
      </w:r>
      <w:r>
        <w:rPr>
          <w:rFonts w:ascii="Arial" w:hAnsi="Arial" w:eastAsia="等线" w:cs="Arial"/>
          <w:b/>
          <w:sz w:val="36"/>
        </w:rPr>
        <w:t>韬能科技定位与核心优势</w:t>
      </w:r>
      <w:bookmarkEnd w:id="5"/>
    </w:p>
    <w:p w14:paraId="7215AC94">
      <w:pPr>
        <w:spacing w:before="320" w:after="120" w:line="288" w:lineRule="auto"/>
        <w:ind w:left="0"/>
        <w:jc w:val="left"/>
        <w:outlineLvl w:val="1"/>
      </w:pPr>
      <w:bookmarkStart w:id="6" w:name="heading_6"/>
      <w:r>
        <w:rPr>
          <w:rFonts w:ascii="Arial" w:hAnsi="Arial" w:eastAsia="等线" w:cs="Arial"/>
          <w:color w:val="3370FF"/>
          <w:sz w:val="32"/>
        </w:rPr>
        <w:t xml:space="preserve">3.1 </w:t>
      </w:r>
      <w:r>
        <w:rPr>
          <w:rFonts w:ascii="Arial" w:hAnsi="Arial" w:eastAsia="等线" w:cs="Arial"/>
          <w:b/>
          <w:sz w:val="32"/>
        </w:rPr>
        <w:t>轻资产定位边界</w:t>
      </w:r>
      <w:bookmarkEnd w:id="6"/>
    </w:p>
    <w:tbl>
      <w:tblPr>
        <w:tblStyle w:val="2"/>
        <w:tblW w:w="0" w:type="auto"/>
        <w:tblInd w:w="0" w:type="dxa"/>
        <w:tblBorders>
          <w:top w:val="single" w:color="F98E8B" w:sz="0" w:space="0"/>
          <w:left w:val="single" w:color="F98E8B" w:sz="0" w:space="0"/>
          <w:bottom w:val="single" w:color="F98E8B" w:sz="0" w:space="0"/>
          <w:right w:val="single" w:color="F98E8B" w:sz="0" w:space="0"/>
          <w:insideH w:val="single" w:color="F98E8B" w:sz="0" w:space="0"/>
          <w:insideV w:val="single" w:color="F98E8B" w:sz="0" w:space="0"/>
        </w:tblBorders>
        <w:tblLayout w:type="fixed"/>
        <w:tblCellMar>
          <w:top w:w="0" w:type="dxa"/>
          <w:left w:w="10" w:type="dxa"/>
          <w:bottom w:w="0" w:type="dxa"/>
          <w:right w:w="10" w:type="dxa"/>
        </w:tblCellMar>
      </w:tblPr>
      <w:tblGrid>
        <w:gridCol w:w="8280"/>
      </w:tblGrid>
      <w:tr w14:paraId="7C29E310">
        <w:tblPrEx>
          <w:tblBorders>
            <w:top w:val="single" w:color="F98E8B" w:sz="0" w:space="0"/>
            <w:left w:val="single" w:color="F98E8B" w:sz="0" w:space="0"/>
            <w:bottom w:val="single" w:color="F98E8B" w:sz="0" w:space="0"/>
            <w:right w:val="single" w:color="F98E8B" w:sz="0" w:space="0"/>
            <w:insideH w:val="single" w:color="F98E8B" w:sz="0" w:space="0"/>
            <w:insideV w:val="single" w:color="F98E8B" w:sz="0" w:space="0"/>
          </w:tblBorders>
          <w:tblCellMar>
            <w:top w:w="0" w:type="dxa"/>
            <w:left w:w="10" w:type="dxa"/>
            <w:bottom w:w="0" w:type="dxa"/>
            <w:right w:w="10" w:type="dxa"/>
          </w:tblCellMar>
        </w:tblPrEx>
        <w:tc>
          <w:tcPr>
            <w:tcW w:w="8280" w:type="dxa"/>
            <w:shd w:val="clear" w:color="auto" w:fill="FEF1F1"/>
            <w:tcMar>
              <w:top w:w="60" w:type="dxa"/>
              <w:left w:w="120" w:type="dxa"/>
              <w:bottom w:w="30" w:type="dxa"/>
              <w:right w:w="120" w:type="dxa"/>
            </w:tcMar>
          </w:tcPr>
          <w:p w14:paraId="41238DF6">
            <w:pPr>
              <w:spacing w:before="120" w:after="120" w:line="288" w:lineRule="auto"/>
              <w:ind w:left="0"/>
              <w:jc w:val="left"/>
            </w:pPr>
            <w:r>
              <w:rPr>
                <w:rFonts w:ascii="Arial" w:hAnsi="Arial" w:eastAsia="等线" w:cs="Arial"/>
                <w:b/>
                <w:sz w:val="22"/>
              </w:rPr>
              <w:t>明确不做：</w:t>
            </w:r>
            <w:r>
              <w:rPr>
                <w:rFonts w:ascii="Arial" w:hAnsi="Arial" w:eastAsia="等线" w:cs="Arial"/>
                <w:sz w:val="22"/>
              </w:rPr>
              <w:t>项目投资持股、工程总承包（EPC）、设备制造销售、重资产运营。</w:t>
            </w:r>
          </w:p>
          <w:p w14:paraId="1A0B1B2B">
            <w:pPr>
              <w:spacing w:before="120" w:after="120" w:line="288" w:lineRule="auto"/>
              <w:ind w:left="0"/>
              <w:jc w:val="left"/>
            </w:pPr>
            <w:r>
              <w:rPr>
                <w:rFonts w:ascii="Arial" w:hAnsi="Arial" w:eastAsia="等线" w:cs="Arial"/>
                <w:b/>
                <w:sz w:val="22"/>
              </w:rPr>
              <w:t>聚焦做：</w:t>
            </w:r>
            <w:r>
              <w:rPr>
                <w:rFonts w:ascii="Arial" w:hAnsi="Arial" w:eastAsia="等线" w:cs="Arial"/>
                <w:sz w:val="22"/>
              </w:rPr>
              <w:t>咨询规划、标准认证、技术服务、资源对接、智能化平台——所有业务均以输出智力和技术服务为主，不持有重资产，不承担建设风险。</w:t>
            </w:r>
          </w:p>
        </w:tc>
      </w:tr>
    </w:tbl>
    <w:p w14:paraId="65DFB575">
      <w:pPr>
        <w:spacing w:before="320" w:after="120" w:line="288" w:lineRule="auto"/>
        <w:ind w:left="0"/>
        <w:jc w:val="left"/>
        <w:outlineLvl w:val="1"/>
      </w:pPr>
      <w:bookmarkStart w:id="7" w:name="heading_7"/>
      <w:r>
        <w:rPr>
          <w:rFonts w:ascii="Arial" w:hAnsi="Arial" w:eastAsia="等线" w:cs="Arial"/>
          <w:color w:val="3370FF"/>
          <w:sz w:val="32"/>
        </w:rPr>
        <w:t xml:space="preserve">3.2 </w:t>
      </w:r>
      <w:r>
        <w:rPr>
          <w:rFonts w:ascii="Arial" w:hAnsi="Arial" w:eastAsia="等线" w:cs="Arial"/>
          <w:b/>
          <w:sz w:val="32"/>
        </w:rPr>
        <w:t>品牌分会资源赋能优势</w:t>
      </w:r>
      <w:bookmarkEnd w:id="7"/>
    </w:p>
    <w:p w14:paraId="0FBD701E">
      <w:pPr>
        <w:spacing w:before="120" w:after="120" w:line="288" w:lineRule="auto"/>
        <w:ind w:left="0"/>
        <w:jc w:val="left"/>
      </w:pPr>
      <w:r>
        <w:rPr>
          <w:rFonts w:ascii="Arial" w:hAnsi="Arial" w:eastAsia="等线" w:cs="Arial"/>
          <w:sz w:val="22"/>
        </w:rPr>
        <w:t>中国能源研究会品牌分会作为国家级能源行业学术组织的分支机构，为韬能科技提供五大核心资源赋能：</w:t>
      </w:r>
    </w:p>
    <w:p w14:paraId="7FED55A7">
      <w:pPr>
        <w:numPr>
          <w:ilvl w:val="0"/>
          <w:numId w:val="1"/>
        </w:numPr>
        <w:spacing w:before="120" w:after="120" w:line="288" w:lineRule="auto"/>
        <w:ind w:left="0"/>
        <w:jc w:val="left"/>
      </w:pPr>
      <w:r>
        <w:rPr>
          <w:rFonts w:ascii="Arial" w:hAnsi="Arial" w:eastAsia="等线" w:cs="Arial"/>
          <w:b/>
          <w:sz w:val="22"/>
        </w:rPr>
        <w:t>政策研究资源：</w:t>
      </w:r>
      <w:r>
        <w:rPr>
          <w:rFonts w:ascii="Arial" w:hAnsi="Arial" w:eastAsia="等线" w:cs="Arial"/>
          <w:sz w:val="22"/>
        </w:rPr>
        <w:t>深度参与能源政策研究与制定过程，可第一时间获取政策动向，为企业提供政策解读和前瞻研判。</w:t>
      </w:r>
    </w:p>
    <w:p w14:paraId="2076F2FF">
      <w:pPr>
        <w:numPr>
          <w:ilvl w:val="0"/>
          <w:numId w:val="2"/>
        </w:numPr>
        <w:spacing w:before="120" w:after="120" w:line="288" w:lineRule="auto"/>
        <w:ind w:left="0"/>
        <w:jc w:val="left"/>
      </w:pPr>
      <w:r>
        <w:rPr>
          <w:rFonts w:ascii="Arial" w:hAnsi="Arial" w:eastAsia="等线" w:cs="Arial"/>
          <w:b/>
          <w:sz w:val="22"/>
        </w:rPr>
        <w:t>专家智库资源：</w:t>
      </w:r>
      <w:r>
        <w:rPr>
          <w:rFonts w:ascii="Arial" w:hAnsi="Arial" w:eastAsia="等线" w:cs="Arial"/>
          <w:sz w:val="22"/>
        </w:rPr>
        <w:t>汇聚能源领域院士、教授、高级工程师等顶尖专家，可组建专项课题组为企业提供技术咨询和评审服务。</w:t>
      </w:r>
    </w:p>
    <w:p w14:paraId="70CC25F7">
      <w:pPr>
        <w:numPr>
          <w:ilvl w:val="0"/>
          <w:numId w:val="3"/>
        </w:numPr>
        <w:spacing w:before="120" w:after="120" w:line="288" w:lineRule="auto"/>
        <w:ind w:left="0"/>
        <w:jc w:val="left"/>
      </w:pPr>
      <w:r>
        <w:rPr>
          <w:rFonts w:ascii="Arial" w:hAnsi="Arial" w:eastAsia="等线" w:cs="Arial"/>
          <w:b/>
          <w:sz w:val="22"/>
        </w:rPr>
        <w:t>标准制定资源：</w:t>
      </w:r>
      <w:r>
        <w:rPr>
          <w:rFonts w:ascii="Arial" w:hAnsi="Arial" w:eastAsia="等线" w:cs="Arial"/>
          <w:sz w:val="22"/>
        </w:rPr>
        <w:t>可参与行业标准、团体标准的制修订工作，帮助企业参与标准制定，提升行业话语权。</w:t>
      </w:r>
    </w:p>
    <w:p w14:paraId="6FE7066C">
      <w:pPr>
        <w:numPr>
          <w:ilvl w:val="0"/>
          <w:numId w:val="4"/>
        </w:numPr>
        <w:spacing w:before="120" w:after="120" w:line="288" w:lineRule="auto"/>
        <w:ind w:left="0"/>
        <w:jc w:val="left"/>
      </w:pPr>
      <w:r>
        <w:rPr>
          <w:rFonts w:ascii="Arial" w:hAnsi="Arial" w:eastAsia="等线" w:cs="Arial"/>
          <w:b/>
          <w:sz w:val="22"/>
        </w:rPr>
        <w:t>产业链资源：</w:t>
      </w:r>
      <w:r>
        <w:rPr>
          <w:rFonts w:ascii="Arial" w:hAnsi="Arial" w:eastAsia="等线" w:cs="Arial"/>
          <w:sz w:val="22"/>
        </w:rPr>
        <w:t>覆盖能源央企、地方国企、设备厂商、科研院所、金融机构等全产业链主体，可高效对接供需资源。</w:t>
      </w:r>
    </w:p>
    <w:p w14:paraId="29777866">
      <w:pPr>
        <w:numPr>
          <w:ilvl w:val="0"/>
          <w:numId w:val="5"/>
        </w:numPr>
        <w:spacing w:before="120" w:after="120" w:line="288" w:lineRule="auto"/>
        <w:ind w:left="0"/>
        <w:jc w:val="left"/>
      </w:pPr>
      <w:r>
        <w:rPr>
          <w:rFonts w:ascii="Arial" w:hAnsi="Arial" w:eastAsia="等线" w:cs="Arial"/>
          <w:b/>
          <w:sz w:val="22"/>
        </w:rPr>
        <w:t>品牌传播资源：</w:t>
      </w:r>
      <w:r>
        <w:rPr>
          <w:rFonts w:ascii="Arial" w:hAnsi="Arial" w:eastAsia="等线" w:cs="Arial"/>
          <w:sz w:val="22"/>
        </w:rPr>
        <w:t>拥有行业媒体、会议论坛、培训认证等传播渠道，可帮助企业提升品牌影响力和市场准入能力。</w:t>
      </w:r>
    </w:p>
    <w:p w14:paraId="72F32FDD">
      <w:pPr>
        <w:spacing w:before="320" w:after="120" w:line="288" w:lineRule="auto"/>
        <w:ind w:left="0"/>
        <w:jc w:val="left"/>
        <w:outlineLvl w:val="1"/>
      </w:pPr>
      <w:bookmarkStart w:id="8" w:name="heading_8"/>
      <w:r>
        <w:rPr>
          <w:rFonts w:ascii="Arial" w:hAnsi="Arial" w:eastAsia="等线" w:cs="Arial"/>
          <w:color w:val="3370FF"/>
          <w:sz w:val="32"/>
        </w:rPr>
        <w:t xml:space="preserve">3.3 </w:t>
      </w:r>
      <w:r>
        <w:rPr>
          <w:rFonts w:ascii="Arial" w:hAnsi="Arial" w:eastAsia="等线" w:cs="Arial"/>
          <w:b/>
          <w:sz w:val="32"/>
        </w:rPr>
        <w:t>技术能力迁移优势</w:t>
      </w:r>
      <w:bookmarkEnd w:id="8"/>
    </w:p>
    <w:p w14:paraId="24A9F6F4">
      <w:pPr>
        <w:spacing w:before="120" w:after="120" w:line="288" w:lineRule="auto"/>
        <w:ind w:left="0"/>
        <w:jc w:val="left"/>
      </w:pPr>
      <w:r>
        <w:rPr>
          <w:rFonts w:ascii="Arial" w:hAnsi="Arial" w:eastAsia="等线" w:cs="Arial"/>
          <w:sz w:val="22"/>
        </w:rPr>
        <w:t>韬能科技在新能源场站全生命周期技术服务领域积累的核心能力，可高效迁移至绿色燃料领域：</w:t>
      </w:r>
    </w:p>
    <w:p w14:paraId="55F55BCE">
      <w:pPr>
        <w:numPr>
          <w:ilvl w:val="0"/>
          <w:numId w:val="6"/>
        </w:numPr>
        <w:spacing w:before="120" w:after="120" w:line="288" w:lineRule="auto"/>
        <w:ind w:left="0"/>
        <w:jc w:val="left"/>
      </w:pPr>
      <w:r>
        <w:rPr>
          <w:rFonts w:ascii="Arial" w:hAnsi="Arial" w:eastAsia="等线" w:cs="Arial"/>
          <w:b/>
          <w:sz w:val="22"/>
        </w:rPr>
        <w:t>仿真建模能力：</w:t>
      </w:r>
      <w:r>
        <w:rPr>
          <w:rFonts w:ascii="Arial" w:hAnsi="Arial" w:eastAsia="等线" w:cs="Arial"/>
          <w:sz w:val="22"/>
        </w:rPr>
        <w:t>机电暂态、电磁暂态仿真经验可迁移至绿电制氢、柔性合成氨/甲醇等电氢耦合系统的稳定性分析。</w:t>
      </w:r>
    </w:p>
    <w:p w14:paraId="7905DAFE">
      <w:pPr>
        <w:numPr>
          <w:ilvl w:val="0"/>
          <w:numId w:val="7"/>
        </w:numPr>
        <w:spacing w:before="120" w:after="120" w:line="288" w:lineRule="auto"/>
        <w:ind w:left="0"/>
        <w:jc w:val="left"/>
      </w:pPr>
      <w:r>
        <w:rPr>
          <w:rFonts w:ascii="Arial" w:hAnsi="Arial" w:eastAsia="等线" w:cs="Arial"/>
          <w:b/>
          <w:sz w:val="22"/>
        </w:rPr>
        <w:t>涉网安全能力：</w:t>
      </w:r>
      <w:r>
        <w:rPr>
          <w:rFonts w:ascii="Arial" w:hAnsi="Arial" w:eastAsia="等线" w:cs="Arial"/>
          <w:sz w:val="22"/>
        </w:rPr>
        <w:t>新能源场站涉网安全工程经验可服务于绿色燃料项目的绿电直连、并网安全评估。</w:t>
      </w:r>
    </w:p>
    <w:p w14:paraId="052B53FE">
      <w:pPr>
        <w:numPr>
          <w:ilvl w:val="0"/>
          <w:numId w:val="8"/>
        </w:numPr>
        <w:spacing w:before="120" w:after="120" w:line="288" w:lineRule="auto"/>
        <w:ind w:left="0"/>
        <w:jc w:val="left"/>
      </w:pPr>
      <w:r>
        <w:rPr>
          <w:rFonts w:ascii="Arial" w:hAnsi="Arial" w:eastAsia="等线" w:cs="Arial"/>
          <w:b/>
          <w:sz w:val="22"/>
        </w:rPr>
        <w:t>智慧场站能力：</w:t>
      </w:r>
      <w:r>
        <w:rPr>
          <w:rFonts w:ascii="Arial" w:hAnsi="Arial" w:eastAsia="等线" w:cs="Arial"/>
          <w:sz w:val="22"/>
        </w:rPr>
        <w:t>智慧场站建设经验可迁移至绿色燃料生产基地的智能化管控平台建设。</w:t>
      </w:r>
    </w:p>
    <w:p w14:paraId="039C55B5">
      <w:pPr>
        <w:numPr>
          <w:ilvl w:val="0"/>
          <w:numId w:val="9"/>
        </w:numPr>
        <w:spacing w:before="120" w:after="120" w:line="288" w:lineRule="auto"/>
        <w:ind w:left="0"/>
        <w:jc w:val="left"/>
      </w:pPr>
      <w:r>
        <w:rPr>
          <w:rFonts w:ascii="Arial" w:hAnsi="Arial" w:eastAsia="等线" w:cs="Arial"/>
          <w:b/>
          <w:sz w:val="22"/>
        </w:rPr>
        <w:t>规划咨询能力：</w:t>
      </w:r>
      <w:r>
        <w:rPr>
          <w:rFonts w:ascii="Arial" w:hAnsi="Arial" w:eastAsia="等线" w:cs="Arial"/>
          <w:sz w:val="22"/>
        </w:rPr>
        <w:t>新能源规划咨询经验可直接服务于风光氢氨醇一体化基地规划、区域绿色燃料产业规划。</w:t>
      </w:r>
    </w:p>
    <w:p w14:paraId="42B5C586">
      <w:pPr>
        <w:spacing w:before="380" w:after="140" w:line="288" w:lineRule="auto"/>
        <w:ind w:left="0"/>
        <w:jc w:val="left"/>
        <w:outlineLvl w:val="0"/>
      </w:pPr>
      <w:bookmarkStart w:id="9" w:name="heading_9"/>
      <w:r>
        <w:rPr>
          <w:rFonts w:ascii="Arial" w:hAnsi="Arial" w:eastAsia="等线" w:cs="Arial"/>
          <w:color w:val="3370FF"/>
          <w:sz w:val="36"/>
        </w:rPr>
        <w:t xml:space="preserve">4. </w:t>
      </w:r>
      <w:r>
        <w:rPr>
          <w:rFonts w:ascii="Arial" w:hAnsi="Arial" w:eastAsia="等线" w:cs="Arial"/>
          <w:b/>
          <w:sz w:val="36"/>
        </w:rPr>
        <w:t>业务拓展方向</w:t>
      </w:r>
      <w:bookmarkEnd w:id="9"/>
    </w:p>
    <w:p w14:paraId="79F64D6E">
      <w:pPr>
        <w:spacing w:before="320" w:after="120" w:line="288" w:lineRule="auto"/>
        <w:ind w:left="0"/>
        <w:jc w:val="left"/>
        <w:outlineLvl w:val="1"/>
      </w:pPr>
      <w:bookmarkStart w:id="10" w:name="heading_10"/>
      <w:r>
        <w:rPr>
          <w:rFonts w:ascii="Arial" w:hAnsi="Arial" w:eastAsia="等线" w:cs="Arial"/>
          <w:color w:val="3370FF"/>
          <w:sz w:val="32"/>
        </w:rPr>
        <w:t xml:space="preserve">4.1 </w:t>
      </w:r>
      <w:r>
        <w:rPr>
          <w:rFonts w:ascii="Arial" w:hAnsi="Arial" w:eastAsia="等线" w:cs="Arial"/>
          <w:b/>
          <w:sz w:val="32"/>
        </w:rPr>
        <w:t>核心业务（快速变现，建立行业影响力）</w:t>
      </w:r>
      <w:bookmarkEnd w:id="10"/>
    </w:p>
    <w:p w14:paraId="2DB2D6D0">
      <w:pPr>
        <w:spacing w:before="120" w:after="120" w:line="288" w:lineRule="auto"/>
        <w:ind w:left="0"/>
        <w:jc w:val="left"/>
      </w:pPr>
      <w:r>
        <w:rPr>
          <w:rFonts w:ascii="Arial" w:hAnsi="Arial" w:eastAsia="等线" w:cs="Arial"/>
          <w:sz w:val="22"/>
        </w:rPr>
        <w:t>核心业务是韬能科技绿色燃料板块的现金流基础，特点是</w:t>
      </w:r>
      <w:r>
        <w:rPr>
          <w:rFonts w:ascii="Arial" w:hAnsi="Arial" w:eastAsia="等线" w:cs="Arial"/>
          <w:b/>
          <w:sz w:val="22"/>
        </w:rPr>
        <w:t>需求明确、交付周期短、客单价适中、可快速复制</w:t>
      </w:r>
      <w:r>
        <w:rPr>
          <w:rFonts w:ascii="Arial" w:hAnsi="Arial" w:eastAsia="等线" w:cs="Arial"/>
          <w:sz w:val="22"/>
        </w:rPr>
        <w:t>，应在2026年立即启动。</w:t>
      </w:r>
    </w:p>
    <w:p w14:paraId="6751B65B">
      <w:pPr>
        <w:spacing w:before="300" w:after="120" w:line="288" w:lineRule="auto"/>
        <w:ind w:left="0"/>
        <w:jc w:val="left"/>
        <w:outlineLvl w:val="2"/>
      </w:pPr>
      <w:bookmarkStart w:id="11" w:name="heading_11"/>
      <w:r>
        <w:rPr>
          <w:rFonts w:ascii="Arial" w:hAnsi="Arial" w:eastAsia="等线" w:cs="Arial"/>
          <w:color w:val="3370FF"/>
          <w:sz w:val="30"/>
        </w:rPr>
        <w:t xml:space="preserve">4.1.1 </w:t>
      </w:r>
      <w:r>
        <w:rPr>
          <w:rFonts w:ascii="Arial" w:hAnsi="Arial" w:eastAsia="等线" w:cs="Arial"/>
          <w:b/>
          <w:sz w:val="30"/>
        </w:rPr>
        <w:t>业务一：绿色燃料项目前期规划咨询</w:t>
      </w:r>
      <w:bookmarkEnd w:id="11"/>
    </w:p>
    <w:p w14:paraId="6B0AFD8F">
      <w:pPr>
        <w:spacing w:before="120" w:after="120" w:line="288" w:lineRule="auto"/>
        <w:ind w:left="0"/>
        <w:jc w:val="left"/>
      </w:pPr>
      <w:r>
        <w:rPr>
          <w:rFonts w:ascii="Arial" w:hAnsi="Arial" w:eastAsia="等线" w:cs="Arial"/>
          <w:b/>
          <w:sz w:val="22"/>
        </w:rPr>
        <w:t>服务内容：</w:t>
      </w:r>
    </w:p>
    <w:p w14:paraId="2433B1D2">
      <w:pPr>
        <w:numPr>
          <w:ilvl w:val="0"/>
          <w:numId w:val="10"/>
        </w:numPr>
        <w:spacing w:before="120" w:after="120" w:line="288" w:lineRule="auto"/>
        <w:ind w:left="0"/>
        <w:jc w:val="left"/>
      </w:pPr>
      <w:r>
        <w:rPr>
          <w:rFonts w:ascii="Arial" w:hAnsi="Arial" w:eastAsia="等线" w:cs="Arial"/>
          <w:sz w:val="22"/>
        </w:rPr>
        <w:t>项目可行性研究：技术路线选型、原料资源评估、市场需求分析、经济性测算、风险评估</w:t>
      </w:r>
    </w:p>
    <w:p w14:paraId="05C850C7">
      <w:pPr>
        <w:numPr>
          <w:ilvl w:val="0"/>
          <w:numId w:val="11"/>
        </w:numPr>
        <w:spacing w:before="120" w:after="120" w:line="288" w:lineRule="auto"/>
        <w:ind w:left="0"/>
        <w:jc w:val="left"/>
      </w:pPr>
      <w:r>
        <w:rPr>
          <w:rFonts w:ascii="Arial" w:hAnsi="Arial" w:eastAsia="等线" w:cs="Arial"/>
          <w:sz w:val="22"/>
        </w:rPr>
        <w:t>风光氢氨醇一体化基地规划：绿电资源评估、制氢规模测算、合成工艺匹配、储运方案设计</w:t>
      </w:r>
    </w:p>
    <w:p w14:paraId="0D869CDE">
      <w:pPr>
        <w:numPr>
          <w:ilvl w:val="0"/>
          <w:numId w:val="12"/>
        </w:numPr>
        <w:spacing w:before="120" w:after="120" w:line="288" w:lineRule="auto"/>
        <w:ind w:left="0"/>
        <w:jc w:val="left"/>
      </w:pPr>
      <w:r>
        <w:rPr>
          <w:rFonts w:ascii="Arial" w:hAnsi="Arial" w:eastAsia="等线" w:cs="Arial"/>
          <w:sz w:val="22"/>
        </w:rPr>
        <w:t>区域绿色燃料产业发展规划：省市/园区级产业布局规划、产能规模建议、基础设施配套规划</w:t>
      </w:r>
    </w:p>
    <w:p w14:paraId="5B895D5D">
      <w:pPr>
        <w:numPr>
          <w:ilvl w:val="0"/>
          <w:numId w:val="13"/>
        </w:numPr>
        <w:spacing w:before="120" w:after="120" w:line="288" w:lineRule="auto"/>
        <w:ind w:left="0"/>
        <w:jc w:val="left"/>
      </w:pPr>
      <w:r>
        <w:rPr>
          <w:rFonts w:ascii="Arial" w:hAnsi="Arial" w:eastAsia="等线" w:cs="Arial"/>
          <w:sz w:val="22"/>
        </w:rPr>
        <w:t>政策试点项目申报辅导：国家能源局绿色液体燃料试点、氢能试点、零碳园区/零碳工厂申报</w:t>
      </w:r>
    </w:p>
    <w:p w14:paraId="599FB5EA">
      <w:pPr>
        <w:spacing w:before="120" w:after="120" w:line="288" w:lineRule="auto"/>
        <w:ind w:left="0"/>
        <w:jc w:val="left"/>
      </w:pPr>
      <w:r>
        <w:rPr>
          <w:rFonts w:ascii="Arial" w:hAnsi="Arial" w:eastAsia="等线" w:cs="Arial"/>
          <w:b/>
          <w:sz w:val="22"/>
        </w:rPr>
        <w:t>目标客户：</w:t>
      </w:r>
      <w:r>
        <w:rPr>
          <w:rFonts w:ascii="Arial" w:hAnsi="Arial" w:eastAsia="等线" w:cs="Arial"/>
          <w:sz w:val="22"/>
        </w:rPr>
        <w:t>央国企能源投资平台、地方能源集团、产业园区管委会、大型化工企业</w:t>
      </w:r>
    </w:p>
    <w:p w14:paraId="21834207">
      <w:pPr>
        <w:spacing w:before="120" w:after="120" w:line="288" w:lineRule="auto"/>
        <w:ind w:left="0"/>
        <w:jc w:val="left"/>
      </w:pPr>
      <w:r>
        <w:rPr>
          <w:rFonts w:ascii="Arial" w:hAnsi="Arial" w:eastAsia="等线" w:cs="Arial"/>
          <w:b/>
          <w:sz w:val="22"/>
        </w:rPr>
        <w:t>变现模式：</w:t>
      </w:r>
      <w:r>
        <w:rPr>
          <w:rFonts w:ascii="Arial" w:hAnsi="Arial" w:eastAsia="等线" w:cs="Arial"/>
          <w:sz w:val="22"/>
        </w:rPr>
        <w:t>项目制咨询费（单项目20万—100万元），年度顾问费（50万—200万元/年）</w:t>
      </w:r>
    </w:p>
    <w:p w14:paraId="558431F0">
      <w:pPr>
        <w:spacing w:before="120" w:after="120" w:line="288" w:lineRule="auto"/>
        <w:ind w:left="0"/>
        <w:jc w:val="left"/>
      </w:pPr>
      <w:r>
        <w:rPr>
          <w:rFonts w:ascii="Arial" w:hAnsi="Arial" w:eastAsia="等线" w:cs="Arial"/>
          <w:b/>
          <w:sz w:val="22"/>
        </w:rPr>
        <w:t>落地难度：</w:t>
      </w:r>
      <w:r>
        <w:rPr>
          <w:rFonts w:ascii="Arial" w:hAnsi="Arial" w:eastAsia="等线" w:cs="Arial"/>
          <w:sz w:val="22"/>
        </w:rPr>
        <w:t>低——团队已有新能源规划咨询能力，绿色燃料领域知识可快速补充</w:t>
      </w:r>
    </w:p>
    <w:p w14:paraId="0AA542F0">
      <w:pPr>
        <w:spacing w:before="300" w:after="120" w:line="288" w:lineRule="auto"/>
        <w:ind w:left="0"/>
        <w:jc w:val="left"/>
        <w:outlineLvl w:val="2"/>
      </w:pPr>
      <w:bookmarkStart w:id="12" w:name="heading_12"/>
      <w:r>
        <w:rPr>
          <w:rFonts w:ascii="Arial" w:hAnsi="Arial" w:eastAsia="等线" w:cs="Arial"/>
          <w:color w:val="3370FF"/>
          <w:sz w:val="30"/>
        </w:rPr>
        <w:t xml:space="preserve">4.1.2 </w:t>
      </w:r>
      <w:r>
        <w:rPr>
          <w:rFonts w:ascii="Arial" w:hAnsi="Arial" w:eastAsia="等线" w:cs="Arial"/>
          <w:b/>
          <w:sz w:val="30"/>
        </w:rPr>
        <w:t>业务二：绿色燃料标准与认证咨询</w:t>
      </w:r>
      <w:bookmarkEnd w:id="12"/>
    </w:p>
    <w:p w14:paraId="0A61F2BC">
      <w:pPr>
        <w:spacing w:before="120" w:after="120" w:line="288" w:lineRule="auto"/>
        <w:ind w:left="0"/>
        <w:jc w:val="left"/>
      </w:pPr>
      <w:r>
        <w:rPr>
          <w:rFonts w:ascii="Arial" w:hAnsi="Arial" w:eastAsia="等线" w:cs="Arial"/>
          <w:b/>
          <w:sz w:val="22"/>
        </w:rPr>
        <w:t>服务内容：</w:t>
      </w:r>
    </w:p>
    <w:p w14:paraId="6DAE70B8">
      <w:pPr>
        <w:numPr>
          <w:ilvl w:val="0"/>
          <w:numId w:val="14"/>
        </w:numPr>
        <w:spacing w:before="120" w:after="120" w:line="288" w:lineRule="auto"/>
        <w:ind w:left="0"/>
        <w:jc w:val="left"/>
      </w:pPr>
      <w:r>
        <w:rPr>
          <w:rFonts w:ascii="Arial" w:hAnsi="Arial" w:eastAsia="等线" w:cs="Arial"/>
          <w:sz w:val="22"/>
        </w:rPr>
        <w:t>绿色属性认定咨询：依据《绿色甲醇》（NB/T 11968）、《绿色合成氨》（NB/T 11967）等标准，协助企业完成三级降碳强度认定（70%/50%/30%）</w:t>
      </w:r>
    </w:p>
    <w:p w14:paraId="4AB82C37">
      <w:pPr>
        <w:numPr>
          <w:ilvl w:val="0"/>
          <w:numId w:val="15"/>
        </w:numPr>
        <w:spacing w:before="120" w:after="120" w:line="288" w:lineRule="auto"/>
        <w:ind w:left="0"/>
        <w:jc w:val="left"/>
      </w:pPr>
      <w:r>
        <w:rPr>
          <w:rFonts w:ascii="Arial" w:hAnsi="Arial" w:eastAsia="等线" w:cs="Arial"/>
          <w:sz w:val="22"/>
        </w:rPr>
        <w:t>碳足迹核算服务：产品全生命周期碳足迹核算、碳标识认证申请、国际碳足迹标准对标（欧盟CBAM等）</w:t>
      </w:r>
    </w:p>
    <w:p w14:paraId="1059BA1B">
      <w:pPr>
        <w:numPr>
          <w:ilvl w:val="0"/>
          <w:numId w:val="16"/>
        </w:numPr>
        <w:spacing w:before="120" w:after="120" w:line="288" w:lineRule="auto"/>
        <w:ind w:left="0"/>
        <w:jc w:val="left"/>
      </w:pPr>
      <w:r>
        <w:rPr>
          <w:rFonts w:ascii="Arial" w:hAnsi="Arial" w:eastAsia="等线" w:cs="Arial"/>
          <w:sz w:val="22"/>
        </w:rPr>
        <w:t>CCER方法学开发与项目申报：绿色燃料CCER方法学研究开发、自愿减排项目设计与申报、碳资产开发与管理</w:t>
      </w:r>
    </w:p>
    <w:p w14:paraId="5BCA5290">
      <w:pPr>
        <w:numPr>
          <w:ilvl w:val="0"/>
          <w:numId w:val="17"/>
        </w:numPr>
        <w:spacing w:before="120" w:after="120" w:line="288" w:lineRule="auto"/>
        <w:ind w:left="0"/>
        <w:jc w:val="left"/>
      </w:pPr>
      <w:r>
        <w:rPr>
          <w:rFonts w:ascii="Arial" w:hAnsi="Arial" w:eastAsia="等线" w:cs="Arial"/>
          <w:sz w:val="22"/>
        </w:rPr>
        <w:t>标准制修订参与：协助企业参与行业标准、团体标准制修订，提升企业行业话语权</w:t>
      </w:r>
    </w:p>
    <w:p w14:paraId="7B5D436E">
      <w:pPr>
        <w:spacing w:before="120" w:after="120" w:line="288" w:lineRule="auto"/>
        <w:ind w:left="0"/>
        <w:jc w:val="left"/>
      </w:pPr>
      <w:r>
        <w:rPr>
          <w:rFonts w:ascii="Arial" w:hAnsi="Arial" w:eastAsia="等线" w:cs="Arial"/>
          <w:b/>
          <w:sz w:val="22"/>
        </w:rPr>
        <w:t>目标客户：</w:t>
      </w:r>
      <w:r>
        <w:rPr>
          <w:rFonts w:ascii="Arial" w:hAnsi="Arial" w:eastAsia="等线" w:cs="Arial"/>
          <w:sz w:val="22"/>
        </w:rPr>
        <w:t>绿色燃料生产企业、出口型化工企业、碳管理需求企业、认证机构合作</w:t>
      </w:r>
    </w:p>
    <w:p w14:paraId="3A9E7AF4">
      <w:pPr>
        <w:spacing w:before="120" w:after="120" w:line="288" w:lineRule="auto"/>
        <w:ind w:left="0"/>
        <w:jc w:val="left"/>
      </w:pPr>
      <w:r>
        <w:rPr>
          <w:rFonts w:ascii="Arial" w:hAnsi="Arial" w:eastAsia="等线" w:cs="Arial"/>
          <w:b/>
          <w:sz w:val="22"/>
        </w:rPr>
        <w:t>变现模式：</w:t>
      </w:r>
      <w:r>
        <w:rPr>
          <w:rFonts w:ascii="Arial" w:hAnsi="Arial" w:eastAsia="等线" w:cs="Arial"/>
          <w:sz w:val="22"/>
        </w:rPr>
        <w:t>项目制服务费（单项目10万—50万元），方法学开发联合收益分成</w:t>
      </w:r>
    </w:p>
    <w:p w14:paraId="432756C6">
      <w:pPr>
        <w:spacing w:before="120" w:after="120" w:line="288" w:lineRule="auto"/>
        <w:ind w:left="0"/>
        <w:jc w:val="left"/>
      </w:pPr>
      <w:r>
        <w:rPr>
          <w:rFonts w:ascii="Arial" w:hAnsi="Arial" w:eastAsia="等线" w:cs="Arial"/>
          <w:b/>
          <w:sz w:val="22"/>
        </w:rPr>
        <w:t>落地难度：</w:t>
      </w:r>
      <w:r>
        <w:rPr>
          <w:rFonts w:ascii="Arial" w:hAnsi="Arial" w:eastAsia="等线" w:cs="Arial"/>
          <w:sz w:val="22"/>
        </w:rPr>
        <w:t>中——需要培养碳核算专业人才，可与研究会专家资源合作</w:t>
      </w:r>
    </w:p>
    <w:p w14:paraId="600786C9">
      <w:pPr>
        <w:spacing w:before="120" w:after="120" w:line="288" w:lineRule="auto"/>
        <w:ind w:left="0"/>
        <w:jc w:val="left"/>
      </w:pPr>
      <w:r>
        <w:rPr>
          <w:rFonts w:ascii="Arial" w:hAnsi="Arial" w:eastAsia="等线" w:cs="Arial"/>
          <w:b/>
          <w:sz w:val="22"/>
        </w:rPr>
        <w:t>核心壁垒：</w:t>
      </w:r>
      <w:r>
        <w:rPr>
          <w:rFonts w:ascii="Arial" w:hAnsi="Arial" w:eastAsia="等线" w:cs="Arial"/>
          <w:sz w:val="22"/>
        </w:rPr>
        <w:t>品牌分会可参与标准制定，这是普通咨询公司不具备的差异化优势</w:t>
      </w:r>
    </w:p>
    <w:p w14:paraId="7990698F">
      <w:pPr>
        <w:spacing w:before="300" w:after="120" w:line="288" w:lineRule="auto"/>
        <w:ind w:left="0"/>
        <w:jc w:val="left"/>
        <w:outlineLvl w:val="2"/>
      </w:pPr>
      <w:bookmarkStart w:id="13" w:name="heading_13"/>
      <w:r>
        <w:rPr>
          <w:rFonts w:ascii="Arial" w:hAnsi="Arial" w:eastAsia="等线" w:cs="Arial"/>
          <w:color w:val="3370FF"/>
          <w:sz w:val="30"/>
        </w:rPr>
        <w:t xml:space="preserve">4.1.3 </w:t>
      </w:r>
      <w:r>
        <w:rPr>
          <w:rFonts w:ascii="Arial" w:hAnsi="Arial" w:eastAsia="等线" w:cs="Arial"/>
          <w:b/>
          <w:sz w:val="30"/>
        </w:rPr>
        <w:t>业务三：政策研究与战略规划</w:t>
      </w:r>
      <w:bookmarkEnd w:id="13"/>
    </w:p>
    <w:p w14:paraId="57C10997">
      <w:pPr>
        <w:spacing w:before="120" w:after="120" w:line="288" w:lineRule="auto"/>
        <w:ind w:left="0"/>
        <w:jc w:val="left"/>
      </w:pPr>
      <w:r>
        <w:rPr>
          <w:rFonts w:ascii="Arial" w:hAnsi="Arial" w:eastAsia="等线" w:cs="Arial"/>
          <w:b/>
          <w:sz w:val="22"/>
        </w:rPr>
        <w:t>服务内容：</w:t>
      </w:r>
    </w:p>
    <w:p w14:paraId="16157BED">
      <w:pPr>
        <w:numPr>
          <w:ilvl w:val="0"/>
          <w:numId w:val="18"/>
        </w:numPr>
        <w:spacing w:before="120" w:after="120" w:line="288" w:lineRule="auto"/>
        <w:ind w:left="0"/>
        <w:jc w:val="left"/>
      </w:pPr>
      <w:r>
        <w:rPr>
          <w:rFonts w:ascii="Arial" w:hAnsi="Arial" w:eastAsia="等线" w:cs="Arial"/>
          <w:sz w:val="22"/>
        </w:rPr>
        <w:t>企业绿色燃料战略规划：市场进入策略、业务布局建议、技术路线图、投资节奏规划</w:t>
      </w:r>
    </w:p>
    <w:p w14:paraId="1B9B775F">
      <w:pPr>
        <w:numPr>
          <w:ilvl w:val="0"/>
          <w:numId w:val="19"/>
        </w:numPr>
        <w:spacing w:before="120" w:after="120" w:line="288" w:lineRule="auto"/>
        <w:ind w:left="0"/>
        <w:jc w:val="left"/>
      </w:pPr>
      <w:r>
        <w:rPr>
          <w:rFonts w:ascii="Arial" w:hAnsi="Arial" w:eastAsia="等线" w:cs="Arial"/>
          <w:sz w:val="22"/>
        </w:rPr>
        <w:t>国际市场政策研究：IMO航运减排、ICAO航空减排、欧盟RED III/REA/CBAM等政策跟踪与应对策略</w:t>
      </w:r>
    </w:p>
    <w:p w14:paraId="03D59143">
      <w:pPr>
        <w:numPr>
          <w:ilvl w:val="0"/>
          <w:numId w:val="20"/>
        </w:numPr>
        <w:spacing w:before="120" w:after="120" w:line="288" w:lineRule="auto"/>
        <w:ind w:left="0"/>
        <w:jc w:val="left"/>
      </w:pPr>
      <w:r>
        <w:rPr>
          <w:rFonts w:ascii="Arial" w:hAnsi="Arial" w:eastAsia="等线" w:cs="Arial"/>
          <w:sz w:val="22"/>
        </w:rPr>
        <w:t>产业研究报告：细分品类（绿色甲醇/绿氨/SAF等）市场研究、技术路线对比、竞争格局分析</w:t>
      </w:r>
    </w:p>
    <w:p w14:paraId="2E551FF9">
      <w:pPr>
        <w:numPr>
          <w:ilvl w:val="0"/>
          <w:numId w:val="21"/>
        </w:numPr>
        <w:spacing w:before="120" w:after="120" w:line="288" w:lineRule="auto"/>
        <w:ind w:left="0"/>
        <w:jc w:val="left"/>
      </w:pPr>
      <w:r>
        <w:rPr>
          <w:rFonts w:ascii="Arial" w:hAnsi="Arial" w:eastAsia="等线" w:cs="Arial"/>
          <w:sz w:val="22"/>
        </w:rPr>
        <w:t>政策解读与培训：最新政策文件解读、政策趋势研判、企业内部政策培训</w:t>
      </w:r>
    </w:p>
    <w:p w14:paraId="376B6154">
      <w:pPr>
        <w:spacing w:before="120" w:after="120" w:line="288" w:lineRule="auto"/>
        <w:ind w:left="0"/>
        <w:jc w:val="left"/>
      </w:pPr>
      <w:r>
        <w:rPr>
          <w:rFonts w:ascii="Arial" w:hAnsi="Arial" w:eastAsia="等线" w:cs="Arial"/>
          <w:b/>
          <w:sz w:val="22"/>
        </w:rPr>
        <w:t>目标客户：</w:t>
      </w:r>
      <w:r>
        <w:rPr>
          <w:rFonts w:ascii="Arial" w:hAnsi="Arial" w:eastAsia="等线" w:cs="Arial"/>
          <w:sz w:val="22"/>
        </w:rPr>
        <w:t>大型能源央企战略部门、投资机构、金融机构、地方政府</w:t>
      </w:r>
    </w:p>
    <w:p w14:paraId="22E28F17">
      <w:pPr>
        <w:spacing w:before="120" w:after="120" w:line="288" w:lineRule="auto"/>
        <w:ind w:left="0"/>
        <w:jc w:val="left"/>
      </w:pPr>
      <w:r>
        <w:rPr>
          <w:rFonts w:ascii="Arial" w:hAnsi="Arial" w:eastAsia="等线" w:cs="Arial"/>
          <w:b/>
          <w:sz w:val="22"/>
        </w:rPr>
        <w:t>变现模式：</w:t>
      </w:r>
      <w:r>
        <w:rPr>
          <w:rFonts w:ascii="Arial" w:hAnsi="Arial" w:eastAsia="等线" w:cs="Arial"/>
          <w:sz w:val="22"/>
        </w:rPr>
        <w:t>研究报告销售（5万—20万元/份），定制研究项目（30万—100万元），年度政策订阅服务（20万—50万元/年）</w:t>
      </w:r>
    </w:p>
    <w:p w14:paraId="6D55BCAB">
      <w:pPr>
        <w:spacing w:before="120" w:after="120" w:line="288" w:lineRule="auto"/>
        <w:ind w:left="0"/>
        <w:jc w:val="left"/>
      </w:pPr>
      <w:r>
        <w:rPr>
          <w:rFonts w:ascii="Arial" w:hAnsi="Arial" w:eastAsia="等线" w:cs="Arial"/>
          <w:b/>
          <w:sz w:val="22"/>
        </w:rPr>
        <w:t>落地难度：</w:t>
      </w:r>
      <w:r>
        <w:rPr>
          <w:rFonts w:ascii="Arial" w:hAnsi="Arial" w:eastAsia="等线" w:cs="Arial"/>
          <w:sz w:val="22"/>
        </w:rPr>
        <w:t>低——品牌分会天然具备政策研究能力和公信力</w:t>
      </w:r>
    </w:p>
    <w:p w14:paraId="476FFDC3">
      <w:pPr>
        <w:spacing w:before="320" w:after="120" w:line="288" w:lineRule="auto"/>
        <w:ind w:left="0"/>
        <w:jc w:val="left"/>
        <w:outlineLvl w:val="1"/>
      </w:pPr>
      <w:bookmarkStart w:id="14" w:name="heading_14"/>
      <w:r>
        <w:rPr>
          <w:rFonts w:ascii="Arial" w:hAnsi="Arial" w:eastAsia="等线" w:cs="Arial"/>
          <w:color w:val="3370FF"/>
          <w:sz w:val="32"/>
        </w:rPr>
        <w:t xml:space="preserve">4.2 </w:t>
      </w:r>
      <w:r>
        <w:rPr>
          <w:rFonts w:ascii="Arial" w:hAnsi="Arial" w:eastAsia="等线" w:cs="Arial"/>
          <w:b/>
          <w:sz w:val="32"/>
        </w:rPr>
        <w:t>增值业务（提升客单价与利润空间）</w:t>
      </w:r>
      <w:bookmarkEnd w:id="14"/>
    </w:p>
    <w:p w14:paraId="33E17B1F">
      <w:pPr>
        <w:spacing w:before="120" w:after="120" w:line="288" w:lineRule="auto"/>
        <w:ind w:left="0"/>
        <w:jc w:val="left"/>
      </w:pPr>
      <w:r>
        <w:rPr>
          <w:rFonts w:ascii="Arial" w:hAnsi="Arial" w:eastAsia="等线" w:cs="Arial"/>
          <w:sz w:val="22"/>
        </w:rPr>
        <w:t>增值业务依托核心业务建立的客户关系和行业认知，</w:t>
      </w:r>
      <w:r>
        <w:rPr>
          <w:rFonts w:ascii="Arial" w:hAnsi="Arial" w:eastAsia="等线" w:cs="Arial"/>
          <w:b/>
          <w:sz w:val="22"/>
        </w:rPr>
        <w:t>提升单客户价值和利润率</w:t>
      </w:r>
      <w:r>
        <w:rPr>
          <w:rFonts w:ascii="Arial" w:hAnsi="Arial" w:eastAsia="等线" w:cs="Arial"/>
          <w:sz w:val="22"/>
        </w:rPr>
        <w:t>，应在核心业务稳定后（2026年下半年—2027年）逐步拓展。</w:t>
      </w:r>
    </w:p>
    <w:p w14:paraId="007DD2CC">
      <w:pPr>
        <w:spacing w:before="300" w:after="120" w:line="288" w:lineRule="auto"/>
        <w:ind w:left="0"/>
        <w:jc w:val="left"/>
        <w:outlineLvl w:val="2"/>
      </w:pPr>
      <w:bookmarkStart w:id="15" w:name="heading_15"/>
      <w:r>
        <w:rPr>
          <w:rFonts w:ascii="Arial" w:hAnsi="Arial" w:eastAsia="等线" w:cs="Arial"/>
          <w:color w:val="3370FF"/>
          <w:sz w:val="30"/>
        </w:rPr>
        <w:t xml:space="preserve">4.2.1 </w:t>
      </w:r>
      <w:r>
        <w:rPr>
          <w:rFonts w:ascii="Arial" w:hAnsi="Arial" w:eastAsia="等线" w:cs="Arial"/>
          <w:b/>
          <w:sz w:val="30"/>
        </w:rPr>
        <w:t>业务四：产业链资源对接与撮合</w:t>
      </w:r>
      <w:bookmarkEnd w:id="15"/>
    </w:p>
    <w:p w14:paraId="0DB0B655">
      <w:pPr>
        <w:spacing w:before="120" w:after="120" w:line="288" w:lineRule="auto"/>
        <w:ind w:left="0"/>
        <w:jc w:val="left"/>
      </w:pPr>
      <w:r>
        <w:rPr>
          <w:rFonts w:ascii="Arial" w:hAnsi="Arial" w:eastAsia="等线" w:cs="Arial"/>
          <w:b/>
          <w:sz w:val="22"/>
        </w:rPr>
        <w:t>服务内容：</w:t>
      </w:r>
    </w:p>
    <w:p w14:paraId="24E86B0F">
      <w:pPr>
        <w:numPr>
          <w:ilvl w:val="0"/>
          <w:numId w:val="22"/>
        </w:numPr>
        <w:spacing w:before="120" w:after="120" w:line="288" w:lineRule="auto"/>
        <w:ind w:left="0"/>
        <w:jc w:val="left"/>
      </w:pPr>
      <w:r>
        <w:rPr>
          <w:rFonts w:ascii="Arial" w:hAnsi="Arial" w:eastAsia="等线" w:cs="Arial"/>
          <w:sz w:val="22"/>
        </w:rPr>
        <w:t>上游资源对接：绿电/绿氢资源与绿色燃料项目匹配、CO₂捕集资源对接、生物质原料供应对接</w:t>
      </w:r>
    </w:p>
    <w:p w14:paraId="339756B0">
      <w:pPr>
        <w:numPr>
          <w:ilvl w:val="0"/>
          <w:numId w:val="23"/>
        </w:numPr>
        <w:spacing w:before="120" w:after="120" w:line="288" w:lineRule="auto"/>
        <w:ind w:left="0"/>
        <w:jc w:val="left"/>
      </w:pPr>
      <w:r>
        <w:rPr>
          <w:rFonts w:ascii="Arial" w:hAnsi="Arial" w:eastAsia="等线" w:cs="Arial"/>
          <w:sz w:val="22"/>
        </w:rPr>
        <w:t>中游资源对接：技术装备供应商与项目方对接、工程建设资源推荐（不做EPC，仅做推荐和技术评审）、关键技术合作撮合</w:t>
      </w:r>
    </w:p>
    <w:p w14:paraId="2E28D485">
      <w:pPr>
        <w:numPr>
          <w:ilvl w:val="0"/>
          <w:numId w:val="24"/>
        </w:numPr>
        <w:spacing w:before="120" w:after="120" w:line="288" w:lineRule="auto"/>
        <w:ind w:left="0"/>
        <w:jc w:val="left"/>
      </w:pPr>
      <w:r>
        <w:rPr>
          <w:rFonts w:ascii="Arial" w:hAnsi="Arial" w:eastAsia="等线" w:cs="Arial"/>
          <w:sz w:val="22"/>
        </w:rPr>
        <w:t>下游消纳对接：航运企业（绿色甲醇/绿氨船用燃料）、航空企业（SAF）、化工企业（绿色甲醇/绿氨原料）、港口加注中心对接</w:t>
      </w:r>
    </w:p>
    <w:p w14:paraId="7E10D475">
      <w:pPr>
        <w:numPr>
          <w:ilvl w:val="0"/>
          <w:numId w:val="25"/>
        </w:numPr>
        <w:spacing w:before="120" w:after="120" w:line="288" w:lineRule="auto"/>
        <w:ind w:left="0"/>
        <w:jc w:val="left"/>
      </w:pPr>
      <w:r>
        <w:rPr>
          <w:rFonts w:ascii="Arial" w:hAnsi="Arial" w:eastAsia="等线" w:cs="Arial"/>
          <w:sz w:val="22"/>
        </w:rPr>
        <w:t>绿色燃料加注中心/交易中心规划咨询：港口加注中心选址规划、交易中心商业模式设计、运营方案咨询</w:t>
      </w:r>
    </w:p>
    <w:p w14:paraId="4F471995">
      <w:pPr>
        <w:spacing w:before="120" w:after="120" w:line="288" w:lineRule="auto"/>
        <w:ind w:left="0"/>
        <w:jc w:val="left"/>
      </w:pPr>
      <w:r>
        <w:rPr>
          <w:rFonts w:ascii="Arial" w:hAnsi="Arial" w:eastAsia="等线" w:cs="Arial"/>
          <w:b/>
          <w:sz w:val="22"/>
        </w:rPr>
        <w:t>目标客户：</w:t>
      </w:r>
      <w:r>
        <w:rPr>
          <w:rFonts w:ascii="Arial" w:hAnsi="Arial" w:eastAsia="等线" w:cs="Arial"/>
          <w:sz w:val="22"/>
        </w:rPr>
        <w:t>全产业链企业，重点是有资源匹配需求的央国企和大型民企</w:t>
      </w:r>
    </w:p>
    <w:p w14:paraId="1CEE7F8D">
      <w:pPr>
        <w:spacing w:before="120" w:after="120" w:line="288" w:lineRule="auto"/>
        <w:ind w:left="0"/>
        <w:jc w:val="left"/>
      </w:pPr>
      <w:r>
        <w:rPr>
          <w:rFonts w:ascii="Arial" w:hAnsi="Arial" w:eastAsia="等线" w:cs="Arial"/>
          <w:b/>
          <w:sz w:val="22"/>
        </w:rPr>
        <w:t>变现模式：</w:t>
      </w:r>
      <w:r>
        <w:rPr>
          <w:rFonts w:ascii="Arial" w:hAnsi="Arial" w:eastAsia="等线" w:cs="Arial"/>
          <w:sz w:val="22"/>
        </w:rPr>
        <w:t>对接服务费（单次5万—20万元），交易撮合佣金（按交易额0.5%—2%），年度会员服务费（30万—100万元/年）</w:t>
      </w:r>
    </w:p>
    <w:p w14:paraId="5128114F">
      <w:pPr>
        <w:spacing w:before="120" w:after="120" w:line="288" w:lineRule="auto"/>
        <w:ind w:left="0"/>
        <w:jc w:val="left"/>
      </w:pPr>
      <w:r>
        <w:rPr>
          <w:rFonts w:ascii="Arial" w:hAnsi="Arial" w:eastAsia="等线" w:cs="Arial"/>
          <w:b/>
          <w:sz w:val="22"/>
        </w:rPr>
        <w:t>落地难度：</w:t>
      </w:r>
      <w:r>
        <w:rPr>
          <w:rFonts w:ascii="Arial" w:hAnsi="Arial" w:eastAsia="等线" w:cs="Arial"/>
          <w:sz w:val="22"/>
        </w:rPr>
        <w:t>中——需要积累产业链资源，品牌分会资源是核心抓手</w:t>
      </w:r>
    </w:p>
    <w:p w14:paraId="0D2497E8">
      <w:pPr>
        <w:spacing w:before="300" w:after="120" w:line="288" w:lineRule="auto"/>
        <w:ind w:left="0"/>
        <w:jc w:val="left"/>
        <w:outlineLvl w:val="2"/>
      </w:pPr>
      <w:bookmarkStart w:id="16" w:name="heading_16"/>
      <w:r>
        <w:rPr>
          <w:rFonts w:ascii="Arial" w:hAnsi="Arial" w:eastAsia="等线" w:cs="Arial"/>
          <w:color w:val="3370FF"/>
          <w:sz w:val="30"/>
        </w:rPr>
        <w:t xml:space="preserve">4.2.2 </w:t>
      </w:r>
      <w:r>
        <w:rPr>
          <w:rFonts w:ascii="Arial" w:hAnsi="Arial" w:eastAsia="等线" w:cs="Arial"/>
          <w:b/>
          <w:sz w:val="30"/>
        </w:rPr>
        <w:t>业务五：投融资对接与商业模式设计</w:t>
      </w:r>
      <w:bookmarkEnd w:id="16"/>
    </w:p>
    <w:p w14:paraId="39DC8869">
      <w:pPr>
        <w:spacing w:before="120" w:after="120" w:line="288" w:lineRule="auto"/>
        <w:ind w:left="0"/>
        <w:jc w:val="left"/>
      </w:pPr>
      <w:r>
        <w:rPr>
          <w:rFonts w:ascii="Arial" w:hAnsi="Arial" w:eastAsia="等线" w:cs="Arial"/>
          <w:b/>
          <w:sz w:val="22"/>
        </w:rPr>
        <w:t>服务内容：</w:t>
      </w:r>
    </w:p>
    <w:p w14:paraId="3EBED18F">
      <w:pPr>
        <w:numPr>
          <w:ilvl w:val="0"/>
          <w:numId w:val="26"/>
        </w:numPr>
        <w:spacing w:before="120" w:after="120" w:line="288" w:lineRule="auto"/>
        <w:ind w:left="0"/>
        <w:jc w:val="left"/>
      </w:pPr>
      <w:r>
        <w:rPr>
          <w:rFonts w:ascii="Arial" w:hAnsi="Arial" w:eastAsia="等线" w:cs="Arial"/>
          <w:sz w:val="22"/>
        </w:rPr>
        <w:t>项目融资方案设计：绿色信贷、绿色债券、产业基金、REITs等融资工具组合方案</w:t>
      </w:r>
    </w:p>
    <w:p w14:paraId="02A3695D">
      <w:pPr>
        <w:numPr>
          <w:ilvl w:val="0"/>
          <w:numId w:val="27"/>
        </w:numPr>
        <w:spacing w:before="120" w:after="120" w:line="288" w:lineRule="auto"/>
        <w:ind w:left="0"/>
        <w:jc w:val="left"/>
      </w:pPr>
      <w:r>
        <w:rPr>
          <w:rFonts w:ascii="Arial" w:hAnsi="Arial" w:eastAsia="等线" w:cs="Arial"/>
          <w:sz w:val="22"/>
        </w:rPr>
        <w:t>政府资金申报辅导：国家低碳转型基金、超长期特别国债、节能降碳中央预算内投资、地方专项补贴申报</w:t>
      </w:r>
    </w:p>
    <w:p w14:paraId="7BA70D49">
      <w:pPr>
        <w:numPr>
          <w:ilvl w:val="0"/>
          <w:numId w:val="28"/>
        </w:numPr>
        <w:spacing w:before="120" w:after="120" w:line="288" w:lineRule="auto"/>
        <w:ind w:left="0"/>
        <w:jc w:val="left"/>
      </w:pPr>
      <w:r>
        <w:rPr>
          <w:rFonts w:ascii="Arial" w:hAnsi="Arial" w:eastAsia="等线" w:cs="Arial"/>
          <w:sz w:val="22"/>
        </w:rPr>
        <w:t>绿色金融产品对接：与银行、券商、基金、保险等金融机构合作，为项目方对接绿色金融资源</w:t>
      </w:r>
    </w:p>
    <w:p w14:paraId="020D1FC2">
      <w:pPr>
        <w:numPr>
          <w:ilvl w:val="0"/>
          <w:numId w:val="29"/>
        </w:numPr>
        <w:spacing w:before="120" w:after="120" w:line="288" w:lineRule="auto"/>
        <w:ind w:left="0"/>
        <w:jc w:val="left"/>
      </w:pPr>
      <w:r>
        <w:rPr>
          <w:rFonts w:ascii="Arial" w:hAnsi="Arial" w:eastAsia="等线" w:cs="Arial"/>
          <w:sz w:val="22"/>
        </w:rPr>
        <w:t>商业模式设计：PPP、BOO、EPC+O、合同能源管理等创新商业模式设计与优化</w:t>
      </w:r>
    </w:p>
    <w:p w14:paraId="4F1D0FB6">
      <w:pPr>
        <w:spacing w:before="120" w:after="120" w:line="288" w:lineRule="auto"/>
        <w:ind w:left="0"/>
        <w:jc w:val="left"/>
      </w:pPr>
      <w:r>
        <w:rPr>
          <w:rFonts w:ascii="Arial" w:hAnsi="Arial" w:eastAsia="等线" w:cs="Arial"/>
          <w:b/>
          <w:sz w:val="22"/>
        </w:rPr>
        <w:t>目标客户：</w:t>
      </w:r>
      <w:r>
        <w:rPr>
          <w:rFonts w:ascii="Arial" w:hAnsi="Arial" w:eastAsia="等线" w:cs="Arial"/>
          <w:sz w:val="22"/>
        </w:rPr>
        <w:t>项目投资企业、地方政府平台公司、产业园区</w:t>
      </w:r>
    </w:p>
    <w:p w14:paraId="1ED2F317">
      <w:pPr>
        <w:spacing w:before="120" w:after="120" w:line="288" w:lineRule="auto"/>
        <w:ind w:left="0"/>
        <w:jc w:val="left"/>
      </w:pPr>
      <w:r>
        <w:rPr>
          <w:rFonts w:ascii="Arial" w:hAnsi="Arial" w:eastAsia="等线" w:cs="Arial"/>
          <w:b/>
          <w:sz w:val="22"/>
        </w:rPr>
        <w:t>变现模式：</w:t>
      </w:r>
      <w:r>
        <w:rPr>
          <w:rFonts w:ascii="Arial" w:hAnsi="Arial" w:eastAsia="等线" w:cs="Arial"/>
          <w:sz w:val="22"/>
        </w:rPr>
        <w:t>融资顾问费（融资额1%—3%），申报服务费（10万—30万元/项目），商业模式设计费（20万—50万元）</w:t>
      </w:r>
    </w:p>
    <w:p w14:paraId="42983EA7">
      <w:pPr>
        <w:spacing w:before="120" w:after="120" w:line="288" w:lineRule="auto"/>
        <w:ind w:left="0"/>
        <w:jc w:val="left"/>
      </w:pPr>
      <w:r>
        <w:rPr>
          <w:rFonts w:ascii="Arial" w:hAnsi="Arial" w:eastAsia="等线" w:cs="Arial"/>
          <w:b/>
          <w:sz w:val="22"/>
        </w:rPr>
        <w:t>落地难度：</w:t>
      </w:r>
      <w:r>
        <w:rPr>
          <w:rFonts w:ascii="Arial" w:hAnsi="Arial" w:eastAsia="等线" w:cs="Arial"/>
          <w:sz w:val="22"/>
        </w:rPr>
        <w:t>中高——需要金融机构合作网络，可通过品牌分会资源搭建</w:t>
      </w:r>
    </w:p>
    <w:p w14:paraId="2ADB77F2">
      <w:pPr>
        <w:spacing w:before="300" w:after="120" w:line="288" w:lineRule="auto"/>
        <w:ind w:left="0"/>
        <w:jc w:val="left"/>
        <w:outlineLvl w:val="2"/>
      </w:pPr>
      <w:bookmarkStart w:id="17" w:name="heading_17"/>
      <w:r>
        <w:rPr>
          <w:rFonts w:ascii="Arial" w:hAnsi="Arial" w:eastAsia="等线" w:cs="Arial"/>
          <w:color w:val="3370FF"/>
          <w:sz w:val="30"/>
        </w:rPr>
        <w:t xml:space="preserve">4.2.3 </w:t>
      </w:r>
      <w:r>
        <w:rPr>
          <w:rFonts w:ascii="Arial" w:hAnsi="Arial" w:eastAsia="等线" w:cs="Arial"/>
          <w:b/>
          <w:sz w:val="30"/>
        </w:rPr>
        <w:t>业务六：人才培训与职业资格认证</w:t>
      </w:r>
      <w:bookmarkEnd w:id="17"/>
    </w:p>
    <w:p w14:paraId="33DE4721">
      <w:pPr>
        <w:spacing w:before="120" w:after="120" w:line="288" w:lineRule="auto"/>
        <w:ind w:left="0"/>
        <w:jc w:val="left"/>
      </w:pPr>
      <w:r>
        <w:rPr>
          <w:rFonts w:ascii="Arial" w:hAnsi="Arial" w:eastAsia="等线" w:cs="Arial"/>
          <w:b/>
          <w:sz w:val="22"/>
        </w:rPr>
        <w:t>服务内容：</w:t>
      </w:r>
    </w:p>
    <w:p w14:paraId="5CD483FE">
      <w:pPr>
        <w:numPr>
          <w:ilvl w:val="0"/>
          <w:numId w:val="30"/>
        </w:numPr>
        <w:spacing w:before="120" w:after="120" w:line="288" w:lineRule="auto"/>
        <w:ind w:left="0"/>
        <w:jc w:val="left"/>
      </w:pPr>
      <w:r>
        <w:rPr>
          <w:rFonts w:ascii="Arial" w:hAnsi="Arial" w:eastAsia="等线" w:cs="Arial"/>
          <w:sz w:val="22"/>
        </w:rPr>
        <w:t>绿色燃料专业技术培训：绿色甲醇/绿氨/SAF生产技术、安全管理、运维技能等专题培训</w:t>
      </w:r>
    </w:p>
    <w:p w14:paraId="54DC0C93">
      <w:pPr>
        <w:numPr>
          <w:ilvl w:val="0"/>
          <w:numId w:val="31"/>
        </w:numPr>
        <w:spacing w:before="120" w:after="120" w:line="288" w:lineRule="auto"/>
        <w:ind w:left="0"/>
        <w:jc w:val="left"/>
      </w:pPr>
      <w:r>
        <w:rPr>
          <w:rFonts w:ascii="Arial" w:hAnsi="Arial" w:eastAsia="等线" w:cs="Arial"/>
          <w:sz w:val="22"/>
        </w:rPr>
        <w:t>职业资格认证：依托研究会资源开发绿色燃料领域职业技能等级认证、岗位能力认证</w:t>
      </w:r>
    </w:p>
    <w:p w14:paraId="4287FC04">
      <w:pPr>
        <w:numPr>
          <w:ilvl w:val="0"/>
          <w:numId w:val="32"/>
        </w:numPr>
        <w:spacing w:before="120" w:after="120" w:line="288" w:lineRule="auto"/>
        <w:ind w:left="0"/>
        <w:jc w:val="left"/>
      </w:pPr>
      <w:r>
        <w:rPr>
          <w:rFonts w:ascii="Arial" w:hAnsi="Arial" w:eastAsia="等线" w:cs="Arial"/>
          <w:sz w:val="22"/>
        </w:rPr>
        <w:t>企业内训：为央国企、大型民企提供定制化绿色燃料专题内训</w:t>
      </w:r>
    </w:p>
    <w:p w14:paraId="00495F33">
      <w:pPr>
        <w:numPr>
          <w:ilvl w:val="0"/>
          <w:numId w:val="33"/>
        </w:numPr>
        <w:spacing w:before="120" w:after="120" w:line="288" w:lineRule="auto"/>
        <w:ind w:left="0"/>
        <w:jc w:val="left"/>
      </w:pPr>
      <w:r>
        <w:rPr>
          <w:rFonts w:ascii="Arial" w:hAnsi="Arial" w:eastAsia="等线" w:cs="Arial"/>
          <w:sz w:val="22"/>
        </w:rPr>
        <w:t>高端研修班：联合高校/科研院所举办绿色燃料产业高级研修班、EMBA专题课程</w:t>
      </w:r>
    </w:p>
    <w:p w14:paraId="03320C51">
      <w:pPr>
        <w:spacing w:before="120" w:after="120" w:line="288" w:lineRule="auto"/>
        <w:ind w:left="0"/>
        <w:jc w:val="left"/>
      </w:pPr>
      <w:r>
        <w:rPr>
          <w:rFonts w:ascii="Arial" w:hAnsi="Arial" w:eastAsia="等线" w:cs="Arial"/>
          <w:b/>
          <w:sz w:val="22"/>
        </w:rPr>
        <w:t>目标客户：</w:t>
      </w:r>
      <w:r>
        <w:rPr>
          <w:rFonts w:ascii="Arial" w:hAnsi="Arial" w:eastAsia="等线" w:cs="Arial"/>
          <w:sz w:val="22"/>
        </w:rPr>
        <w:t>绿色燃料生产企业、能源央企培训部门、地方政府干部培训、个人从业者</w:t>
      </w:r>
    </w:p>
    <w:p w14:paraId="34780608">
      <w:pPr>
        <w:spacing w:before="120" w:after="120" w:line="288" w:lineRule="auto"/>
        <w:ind w:left="0"/>
        <w:jc w:val="left"/>
      </w:pPr>
      <w:r>
        <w:rPr>
          <w:rFonts w:ascii="Arial" w:hAnsi="Arial" w:eastAsia="等线" w:cs="Arial"/>
          <w:b/>
          <w:sz w:val="22"/>
        </w:rPr>
        <w:t>变现模式：</w:t>
      </w:r>
      <w:r>
        <w:rPr>
          <w:rFonts w:ascii="Arial" w:hAnsi="Arial" w:eastAsia="等线" w:cs="Arial"/>
          <w:sz w:val="22"/>
        </w:rPr>
        <w:t>培训费（3000元—2万元/人/期），认证费（1000元—5000元/人），企业内训（5万—20万元/场）</w:t>
      </w:r>
    </w:p>
    <w:p w14:paraId="46D904D6">
      <w:pPr>
        <w:spacing w:before="120" w:after="120" w:line="288" w:lineRule="auto"/>
        <w:ind w:left="0"/>
        <w:jc w:val="left"/>
      </w:pPr>
      <w:r>
        <w:rPr>
          <w:rFonts w:ascii="Arial" w:hAnsi="Arial" w:eastAsia="等线" w:cs="Arial"/>
          <w:b/>
          <w:sz w:val="22"/>
        </w:rPr>
        <w:t>落地难度：</w:t>
      </w:r>
      <w:r>
        <w:rPr>
          <w:rFonts w:ascii="Arial" w:hAnsi="Arial" w:eastAsia="等线" w:cs="Arial"/>
          <w:sz w:val="22"/>
        </w:rPr>
        <w:t>低——品牌分会天然具备培训和认证组织能力，人才短缺是行业痛点</w:t>
      </w:r>
    </w:p>
    <w:p w14:paraId="17EAB4BB">
      <w:pPr>
        <w:spacing w:before="300" w:after="120" w:line="288" w:lineRule="auto"/>
        <w:ind w:left="0"/>
        <w:jc w:val="left"/>
        <w:outlineLvl w:val="2"/>
      </w:pPr>
      <w:bookmarkStart w:id="18" w:name="heading_18"/>
      <w:r>
        <w:rPr>
          <w:rFonts w:ascii="Arial" w:hAnsi="Arial" w:eastAsia="等线" w:cs="Arial"/>
          <w:color w:val="3370FF"/>
          <w:sz w:val="30"/>
        </w:rPr>
        <w:t xml:space="preserve">4.2.4 </w:t>
      </w:r>
      <w:r>
        <w:rPr>
          <w:rFonts w:ascii="Arial" w:hAnsi="Arial" w:eastAsia="等线" w:cs="Arial"/>
          <w:b/>
          <w:sz w:val="30"/>
        </w:rPr>
        <w:t>业务七：品牌推广与市场准入协助</w:t>
      </w:r>
      <w:bookmarkEnd w:id="18"/>
    </w:p>
    <w:p w14:paraId="4290D530">
      <w:pPr>
        <w:spacing w:before="120" w:after="120" w:line="288" w:lineRule="auto"/>
        <w:ind w:left="0"/>
        <w:jc w:val="left"/>
      </w:pPr>
      <w:r>
        <w:rPr>
          <w:rFonts w:ascii="Arial" w:hAnsi="Arial" w:eastAsia="等线" w:cs="Arial"/>
          <w:b/>
          <w:sz w:val="22"/>
        </w:rPr>
        <w:t>服务内容：</w:t>
      </w:r>
    </w:p>
    <w:p w14:paraId="59EA94F4">
      <w:pPr>
        <w:numPr>
          <w:ilvl w:val="0"/>
          <w:numId w:val="34"/>
        </w:numPr>
        <w:spacing w:before="120" w:after="120" w:line="288" w:lineRule="auto"/>
        <w:ind w:left="0"/>
        <w:jc w:val="left"/>
      </w:pPr>
      <w:r>
        <w:rPr>
          <w:rFonts w:ascii="Arial" w:hAnsi="Arial" w:eastAsia="等线" w:cs="Arial"/>
          <w:sz w:val="22"/>
        </w:rPr>
        <w:t>企业品牌建设：绿色燃料企业品牌战略规划、品牌传播方案、行业影响力提升</w:t>
      </w:r>
    </w:p>
    <w:p w14:paraId="797C94EC">
      <w:pPr>
        <w:numPr>
          <w:ilvl w:val="0"/>
          <w:numId w:val="35"/>
        </w:numPr>
        <w:spacing w:before="120" w:after="120" w:line="288" w:lineRule="auto"/>
        <w:ind w:left="0"/>
        <w:jc w:val="left"/>
      </w:pPr>
      <w:r>
        <w:rPr>
          <w:rFonts w:ascii="Arial" w:hAnsi="Arial" w:eastAsia="等线" w:cs="Arial"/>
          <w:sz w:val="22"/>
        </w:rPr>
        <w:t>会议论坛组织：承办/协办绿色燃料行业峰会、技术研讨会、项目对接会</w:t>
      </w:r>
    </w:p>
    <w:p w14:paraId="7D006443">
      <w:pPr>
        <w:numPr>
          <w:ilvl w:val="0"/>
          <w:numId w:val="36"/>
        </w:numPr>
        <w:spacing w:before="120" w:after="120" w:line="288" w:lineRule="auto"/>
        <w:ind w:left="0"/>
        <w:jc w:val="left"/>
      </w:pPr>
      <w:r>
        <w:rPr>
          <w:rFonts w:ascii="Arial" w:hAnsi="Arial" w:eastAsia="等线" w:cs="Arial"/>
          <w:sz w:val="22"/>
        </w:rPr>
        <w:t>国际市场准入协助：国际标准互认咨询、出口合规指导、海外市场调研、国际合作对接</w:t>
      </w:r>
    </w:p>
    <w:p w14:paraId="528E45E6">
      <w:pPr>
        <w:numPr>
          <w:ilvl w:val="0"/>
          <w:numId w:val="37"/>
        </w:numPr>
        <w:spacing w:before="120" w:after="120" w:line="288" w:lineRule="auto"/>
        <w:ind w:left="0"/>
        <w:jc w:val="left"/>
      </w:pPr>
      <w:r>
        <w:rPr>
          <w:rFonts w:ascii="Arial" w:hAnsi="Arial" w:eastAsia="等线" w:cs="Arial"/>
          <w:sz w:val="22"/>
        </w:rPr>
        <w:t>行业评优与示范推荐：协助企业申报国家级/省级示范项目、绿色制造体系、专精特新等资质</w:t>
      </w:r>
    </w:p>
    <w:p w14:paraId="0FBC8E79">
      <w:pPr>
        <w:spacing w:before="120" w:after="120" w:line="288" w:lineRule="auto"/>
        <w:ind w:left="0"/>
        <w:jc w:val="left"/>
      </w:pPr>
      <w:r>
        <w:rPr>
          <w:rFonts w:ascii="Arial" w:hAnsi="Arial" w:eastAsia="等线" w:cs="Arial"/>
          <w:b/>
          <w:sz w:val="22"/>
        </w:rPr>
        <w:t>目标客户：</w:t>
      </w:r>
      <w:r>
        <w:rPr>
          <w:rFonts w:ascii="Arial" w:hAnsi="Arial" w:eastAsia="等线" w:cs="Arial"/>
          <w:sz w:val="22"/>
        </w:rPr>
        <w:t>有品牌提升和市场拓展需求的绿色燃料企业、设备厂商</w:t>
      </w:r>
    </w:p>
    <w:p w14:paraId="73F6DFEE">
      <w:pPr>
        <w:spacing w:before="120" w:after="120" w:line="288" w:lineRule="auto"/>
        <w:ind w:left="0"/>
        <w:jc w:val="left"/>
      </w:pPr>
      <w:r>
        <w:rPr>
          <w:rFonts w:ascii="Arial" w:hAnsi="Arial" w:eastAsia="等线" w:cs="Arial"/>
          <w:b/>
          <w:sz w:val="22"/>
        </w:rPr>
        <w:t>变现模式：</w:t>
      </w:r>
      <w:r>
        <w:rPr>
          <w:rFonts w:ascii="Arial" w:hAnsi="Arial" w:eastAsia="等线" w:cs="Arial"/>
          <w:sz w:val="22"/>
        </w:rPr>
        <w:t>品牌咨询费（20万—100万元/年），会议赞助/展位费，国际市场服务费（10万—50万元/项目）</w:t>
      </w:r>
    </w:p>
    <w:p w14:paraId="6F8DB143">
      <w:pPr>
        <w:spacing w:before="120" w:after="120" w:line="288" w:lineRule="auto"/>
        <w:ind w:left="0"/>
        <w:jc w:val="left"/>
      </w:pPr>
      <w:r>
        <w:rPr>
          <w:rFonts w:ascii="Arial" w:hAnsi="Arial" w:eastAsia="等线" w:cs="Arial"/>
          <w:b/>
          <w:sz w:val="22"/>
        </w:rPr>
        <w:t>落地难度：</w:t>
      </w:r>
      <w:r>
        <w:rPr>
          <w:rFonts w:ascii="Arial" w:hAnsi="Arial" w:eastAsia="等线" w:cs="Arial"/>
          <w:sz w:val="22"/>
        </w:rPr>
        <w:t>低——品牌分会核心能力之一，可快速启动</w:t>
      </w:r>
    </w:p>
    <w:p w14:paraId="347FBB43">
      <w:pPr>
        <w:spacing w:before="320" w:after="120" w:line="288" w:lineRule="auto"/>
        <w:ind w:left="0"/>
        <w:jc w:val="left"/>
        <w:outlineLvl w:val="1"/>
      </w:pPr>
      <w:bookmarkStart w:id="19" w:name="heading_19"/>
      <w:r>
        <w:rPr>
          <w:rFonts w:ascii="Arial" w:hAnsi="Arial" w:eastAsia="等线" w:cs="Arial"/>
          <w:color w:val="3370FF"/>
          <w:sz w:val="32"/>
        </w:rPr>
        <w:t xml:space="preserve">4.3 </w:t>
      </w:r>
      <w:r>
        <w:rPr>
          <w:rFonts w:ascii="Arial" w:hAnsi="Arial" w:eastAsia="等线" w:cs="Arial"/>
          <w:b/>
          <w:sz w:val="32"/>
        </w:rPr>
        <w:t>未来可拓展方向（中长期布局，构建护城河）</w:t>
      </w:r>
      <w:bookmarkEnd w:id="19"/>
    </w:p>
    <w:p w14:paraId="07AD555C">
      <w:pPr>
        <w:spacing w:before="120" w:after="120" w:line="288" w:lineRule="auto"/>
        <w:ind w:left="0"/>
        <w:jc w:val="left"/>
      </w:pPr>
      <w:r>
        <w:rPr>
          <w:rFonts w:ascii="Arial" w:hAnsi="Arial" w:eastAsia="等线" w:cs="Arial"/>
          <w:sz w:val="22"/>
        </w:rPr>
        <w:t>未来方向是韬能科技绿色燃料板块的</w:t>
      </w:r>
      <w:r>
        <w:rPr>
          <w:rFonts w:ascii="Arial" w:hAnsi="Arial" w:eastAsia="等线" w:cs="Arial"/>
          <w:b/>
          <w:sz w:val="22"/>
        </w:rPr>
        <w:t>中长期增长引擎和竞争壁垒</w:t>
      </w:r>
      <w:r>
        <w:rPr>
          <w:rFonts w:ascii="Arial" w:hAnsi="Arial" w:eastAsia="等线" w:cs="Arial"/>
          <w:sz w:val="22"/>
        </w:rPr>
        <w:t>，需要技术积累和资源整合，建议在2027年—2028年逐步布局。</w:t>
      </w:r>
    </w:p>
    <w:p w14:paraId="0805D551">
      <w:pPr>
        <w:spacing w:before="300" w:after="120" w:line="288" w:lineRule="auto"/>
        <w:ind w:left="0"/>
        <w:jc w:val="left"/>
        <w:outlineLvl w:val="2"/>
      </w:pPr>
      <w:bookmarkStart w:id="20" w:name="heading_20"/>
      <w:r>
        <w:rPr>
          <w:rFonts w:ascii="Arial" w:hAnsi="Arial" w:eastAsia="等线" w:cs="Arial"/>
          <w:color w:val="3370FF"/>
          <w:sz w:val="30"/>
        </w:rPr>
        <w:t xml:space="preserve">4.3.1 </w:t>
      </w:r>
      <w:r>
        <w:rPr>
          <w:rFonts w:ascii="Arial" w:hAnsi="Arial" w:eastAsia="等线" w:cs="Arial"/>
          <w:b/>
          <w:sz w:val="30"/>
        </w:rPr>
        <w:t>方向八：智能化轻量级运维平台</w:t>
      </w:r>
      <w:bookmarkEnd w:id="20"/>
    </w:p>
    <w:p w14:paraId="69531147">
      <w:pPr>
        <w:spacing w:before="120" w:after="120" w:line="288" w:lineRule="auto"/>
        <w:ind w:left="0"/>
        <w:jc w:val="left"/>
      </w:pPr>
      <w:r>
        <w:rPr>
          <w:rFonts w:ascii="Arial" w:hAnsi="Arial" w:eastAsia="等线" w:cs="Arial"/>
          <w:b/>
          <w:sz w:val="22"/>
        </w:rPr>
        <w:t>服务内容：</w:t>
      </w:r>
    </w:p>
    <w:p w14:paraId="5D8D247B">
      <w:pPr>
        <w:numPr>
          <w:ilvl w:val="0"/>
          <w:numId w:val="38"/>
        </w:numPr>
        <w:spacing w:before="120" w:after="120" w:line="288" w:lineRule="auto"/>
        <w:ind w:left="0"/>
        <w:jc w:val="left"/>
      </w:pPr>
      <w:r>
        <w:rPr>
          <w:rFonts w:ascii="Arial" w:hAnsi="Arial" w:eastAsia="等线" w:cs="Arial"/>
          <w:sz w:val="22"/>
        </w:rPr>
        <w:t>绿色燃料生产过程智能监控：基于IoT和AI的生产过程实时监控、异常预警、优化调度</w:t>
      </w:r>
    </w:p>
    <w:p w14:paraId="462EE5A7">
      <w:pPr>
        <w:numPr>
          <w:ilvl w:val="0"/>
          <w:numId w:val="39"/>
        </w:numPr>
        <w:spacing w:before="120" w:after="120" w:line="288" w:lineRule="auto"/>
        <w:ind w:left="0"/>
        <w:jc w:val="left"/>
      </w:pPr>
      <w:r>
        <w:rPr>
          <w:rFonts w:ascii="Arial" w:hAnsi="Arial" w:eastAsia="等线" w:cs="Arial"/>
          <w:sz w:val="22"/>
        </w:rPr>
        <w:t>碳排放实时监测与核算平台：企业级碳排放监测、碳足迹自动核算、碳资产数字化管理</w:t>
      </w:r>
    </w:p>
    <w:p w14:paraId="1A9C6CE1">
      <w:pPr>
        <w:numPr>
          <w:ilvl w:val="0"/>
          <w:numId w:val="40"/>
        </w:numPr>
        <w:spacing w:before="120" w:after="120" w:line="288" w:lineRule="auto"/>
        <w:ind w:left="0"/>
        <w:jc w:val="left"/>
      </w:pPr>
      <w:r>
        <w:rPr>
          <w:rFonts w:ascii="Arial" w:hAnsi="Arial" w:eastAsia="等线" w:cs="Arial"/>
          <w:sz w:val="22"/>
        </w:rPr>
        <w:t>供应链数字化管理平台：绿色燃料原料采购、生产、储运、销售全链条数字化追溯</w:t>
      </w:r>
    </w:p>
    <w:p w14:paraId="34DD9F1B">
      <w:pPr>
        <w:numPr>
          <w:ilvl w:val="0"/>
          <w:numId w:val="41"/>
        </w:numPr>
        <w:spacing w:before="120" w:after="120" w:line="288" w:lineRule="auto"/>
        <w:ind w:left="0"/>
        <w:jc w:val="left"/>
      </w:pPr>
      <w:r>
        <w:rPr>
          <w:rFonts w:ascii="Arial" w:hAnsi="Arial" w:eastAsia="等线" w:cs="Arial"/>
          <w:sz w:val="22"/>
        </w:rPr>
        <w:t>轻量级运维服务：以SaaS模式提供远程运维、预测性维护、性能优化服务，不派驻现场团队</w:t>
      </w:r>
    </w:p>
    <w:p w14:paraId="01C44C3A">
      <w:pPr>
        <w:spacing w:before="120" w:after="120" w:line="288" w:lineRule="auto"/>
        <w:ind w:left="0"/>
        <w:jc w:val="left"/>
      </w:pPr>
      <w:r>
        <w:rPr>
          <w:rFonts w:ascii="Arial" w:hAnsi="Arial" w:eastAsia="等线" w:cs="Arial"/>
          <w:b/>
          <w:sz w:val="22"/>
        </w:rPr>
        <w:t>目标客户：</w:t>
      </w:r>
      <w:r>
        <w:rPr>
          <w:rFonts w:ascii="Arial" w:hAnsi="Arial" w:eastAsia="等线" w:cs="Arial"/>
          <w:sz w:val="22"/>
        </w:rPr>
        <w:t>绿色燃料生产企业、产业园区、港口加注中心</w:t>
      </w:r>
    </w:p>
    <w:p w14:paraId="4406A0DC">
      <w:pPr>
        <w:spacing w:before="120" w:after="120" w:line="288" w:lineRule="auto"/>
        <w:ind w:left="0"/>
        <w:jc w:val="left"/>
      </w:pPr>
      <w:r>
        <w:rPr>
          <w:rFonts w:ascii="Arial" w:hAnsi="Arial" w:eastAsia="等线" w:cs="Arial"/>
          <w:b/>
          <w:sz w:val="22"/>
        </w:rPr>
        <w:t>变现模式：</w:t>
      </w:r>
      <w:r>
        <w:rPr>
          <w:rFonts w:ascii="Arial" w:hAnsi="Arial" w:eastAsia="等线" w:cs="Arial"/>
          <w:sz w:val="22"/>
        </w:rPr>
        <w:t>SaaS订阅费（5万—50万元/年），平台建设费（50万—200万元/项目），运维服务费</w:t>
      </w:r>
    </w:p>
    <w:p w14:paraId="7C38C2F4">
      <w:pPr>
        <w:spacing w:before="120" w:after="120" w:line="288" w:lineRule="auto"/>
        <w:ind w:left="0"/>
        <w:jc w:val="left"/>
      </w:pPr>
      <w:r>
        <w:rPr>
          <w:rFonts w:ascii="Arial" w:hAnsi="Arial" w:eastAsia="等线" w:cs="Arial"/>
          <w:b/>
          <w:sz w:val="22"/>
        </w:rPr>
        <w:t>落地难度：</w:t>
      </w:r>
      <w:r>
        <w:rPr>
          <w:rFonts w:ascii="Arial" w:hAnsi="Arial" w:eastAsia="等线" w:cs="Arial"/>
          <w:sz w:val="22"/>
        </w:rPr>
        <w:t>高——需要技术研发投入，可与韬能科技智慧场站能力结合，分阶段开发</w:t>
      </w:r>
    </w:p>
    <w:p w14:paraId="08DAA5B7">
      <w:pPr>
        <w:spacing w:before="300" w:after="120" w:line="288" w:lineRule="auto"/>
        <w:ind w:left="0"/>
        <w:jc w:val="left"/>
        <w:outlineLvl w:val="2"/>
      </w:pPr>
      <w:bookmarkStart w:id="21" w:name="heading_21"/>
      <w:r>
        <w:rPr>
          <w:rFonts w:ascii="Arial" w:hAnsi="Arial" w:eastAsia="等线" w:cs="Arial"/>
          <w:color w:val="3370FF"/>
          <w:sz w:val="30"/>
        </w:rPr>
        <w:t xml:space="preserve">4.3.2 </w:t>
      </w:r>
      <w:r>
        <w:rPr>
          <w:rFonts w:ascii="Arial" w:hAnsi="Arial" w:eastAsia="等线" w:cs="Arial"/>
          <w:b/>
          <w:sz w:val="30"/>
        </w:rPr>
        <w:t>方向九：绿色燃料交易与认证服务平台</w:t>
      </w:r>
      <w:bookmarkEnd w:id="21"/>
    </w:p>
    <w:p w14:paraId="6C4294BB">
      <w:pPr>
        <w:spacing w:before="120" w:after="120" w:line="288" w:lineRule="auto"/>
        <w:ind w:left="0"/>
        <w:jc w:val="left"/>
      </w:pPr>
      <w:r>
        <w:rPr>
          <w:rFonts w:ascii="Arial" w:hAnsi="Arial" w:eastAsia="等线" w:cs="Arial"/>
          <w:b/>
          <w:sz w:val="22"/>
        </w:rPr>
        <w:t>服务内容：</w:t>
      </w:r>
    </w:p>
    <w:p w14:paraId="0F7D9C2B">
      <w:pPr>
        <w:numPr>
          <w:ilvl w:val="0"/>
          <w:numId w:val="42"/>
        </w:numPr>
        <w:spacing w:before="120" w:after="120" w:line="288" w:lineRule="auto"/>
        <w:ind w:left="0"/>
        <w:jc w:val="left"/>
      </w:pPr>
      <w:r>
        <w:rPr>
          <w:rFonts w:ascii="Arial" w:hAnsi="Arial" w:eastAsia="等线" w:cs="Arial"/>
          <w:sz w:val="22"/>
        </w:rPr>
        <w:t>绿色燃料交易撮合平台：线上供需信息发布、智能匹配、交易撮合、合同管理</w:t>
      </w:r>
    </w:p>
    <w:p w14:paraId="6BC60135">
      <w:pPr>
        <w:numPr>
          <w:ilvl w:val="0"/>
          <w:numId w:val="43"/>
        </w:numPr>
        <w:spacing w:before="120" w:after="120" w:line="288" w:lineRule="auto"/>
        <w:ind w:left="0"/>
        <w:jc w:val="left"/>
      </w:pPr>
      <w:r>
        <w:rPr>
          <w:rFonts w:ascii="Arial" w:hAnsi="Arial" w:eastAsia="等线" w:cs="Arial"/>
          <w:sz w:val="22"/>
        </w:rPr>
        <w:t>绿色属性认证数字化平台：绿色燃料绿色属性在线认证、证书生成与流转、防伪溯源</w:t>
      </w:r>
    </w:p>
    <w:p w14:paraId="732D5920">
      <w:pPr>
        <w:numPr>
          <w:ilvl w:val="0"/>
          <w:numId w:val="44"/>
        </w:numPr>
        <w:spacing w:before="120" w:after="120" w:line="288" w:lineRule="auto"/>
        <w:ind w:left="0"/>
        <w:jc w:val="left"/>
      </w:pPr>
      <w:r>
        <w:rPr>
          <w:rFonts w:ascii="Arial" w:hAnsi="Arial" w:eastAsia="等线" w:cs="Arial"/>
          <w:sz w:val="22"/>
        </w:rPr>
        <w:t>碳足迹全生命周期追溯系统：从原料到终端应用的全链条碳足迹数据采集、核算、追溯</w:t>
      </w:r>
    </w:p>
    <w:p w14:paraId="68D37AD6">
      <w:pPr>
        <w:numPr>
          <w:ilvl w:val="0"/>
          <w:numId w:val="45"/>
        </w:numPr>
        <w:spacing w:before="120" w:after="120" w:line="288" w:lineRule="auto"/>
        <w:ind w:left="0"/>
        <w:jc w:val="left"/>
      </w:pPr>
      <w:r>
        <w:rPr>
          <w:rFonts w:ascii="Arial" w:hAnsi="Arial" w:eastAsia="等线" w:cs="Arial"/>
          <w:sz w:val="22"/>
        </w:rPr>
        <w:t>绿色燃料指数发布：联合研究会发布中国绿色燃料价格指数、景气指数，提升行业话语权</w:t>
      </w:r>
    </w:p>
    <w:p w14:paraId="29088540">
      <w:pPr>
        <w:spacing w:before="120" w:after="120" w:line="288" w:lineRule="auto"/>
        <w:ind w:left="0"/>
        <w:jc w:val="left"/>
      </w:pPr>
      <w:r>
        <w:rPr>
          <w:rFonts w:ascii="Arial" w:hAnsi="Arial" w:eastAsia="等线" w:cs="Arial"/>
          <w:b/>
          <w:sz w:val="22"/>
        </w:rPr>
        <w:t>目标客户：</w:t>
      </w:r>
      <w:r>
        <w:rPr>
          <w:rFonts w:ascii="Arial" w:hAnsi="Arial" w:eastAsia="等线" w:cs="Arial"/>
          <w:sz w:val="22"/>
        </w:rPr>
        <w:t>全产业链企业、金融机构、监管部门</w:t>
      </w:r>
    </w:p>
    <w:p w14:paraId="6C8933C6">
      <w:pPr>
        <w:spacing w:before="120" w:after="120" w:line="288" w:lineRule="auto"/>
        <w:ind w:left="0"/>
        <w:jc w:val="left"/>
      </w:pPr>
      <w:r>
        <w:rPr>
          <w:rFonts w:ascii="Arial" w:hAnsi="Arial" w:eastAsia="等线" w:cs="Arial"/>
          <w:b/>
          <w:sz w:val="22"/>
        </w:rPr>
        <w:t>变现模式：</w:t>
      </w:r>
      <w:r>
        <w:rPr>
          <w:rFonts w:ascii="Arial" w:hAnsi="Arial" w:eastAsia="等线" w:cs="Arial"/>
          <w:sz w:val="22"/>
        </w:rPr>
        <w:t>平台交易佣金，认证服务费，数据服务订阅费，指数授权费</w:t>
      </w:r>
    </w:p>
    <w:p w14:paraId="7507DB46">
      <w:pPr>
        <w:spacing w:before="120" w:after="120" w:line="288" w:lineRule="auto"/>
        <w:ind w:left="0"/>
        <w:jc w:val="left"/>
      </w:pPr>
      <w:r>
        <w:rPr>
          <w:rFonts w:ascii="Arial" w:hAnsi="Arial" w:eastAsia="等线" w:cs="Arial"/>
          <w:b/>
          <w:sz w:val="22"/>
        </w:rPr>
        <w:t>落地难度：</w:t>
      </w:r>
      <w:r>
        <w:rPr>
          <w:rFonts w:ascii="Arial" w:hAnsi="Arial" w:eastAsia="等线" w:cs="Arial"/>
          <w:sz w:val="22"/>
        </w:rPr>
        <w:t>高——需要政策支持和行业公信力，品牌分会背书是关键优势</w:t>
      </w:r>
    </w:p>
    <w:p w14:paraId="6561BAB7">
      <w:pPr>
        <w:spacing w:before="300" w:after="120" w:line="288" w:lineRule="auto"/>
        <w:ind w:left="0"/>
        <w:jc w:val="left"/>
        <w:outlineLvl w:val="2"/>
      </w:pPr>
      <w:bookmarkStart w:id="22" w:name="heading_22"/>
      <w:r>
        <w:rPr>
          <w:rFonts w:ascii="Arial" w:hAnsi="Arial" w:eastAsia="等线" w:cs="Arial"/>
          <w:color w:val="3370FF"/>
          <w:sz w:val="30"/>
        </w:rPr>
        <w:t xml:space="preserve">4.3.3 </w:t>
      </w:r>
      <w:r>
        <w:rPr>
          <w:rFonts w:ascii="Arial" w:hAnsi="Arial" w:eastAsia="等线" w:cs="Arial"/>
          <w:b/>
          <w:sz w:val="30"/>
        </w:rPr>
        <w:t>方向十：国际市场拓展服务</w:t>
      </w:r>
      <w:bookmarkEnd w:id="22"/>
    </w:p>
    <w:p w14:paraId="29B10482">
      <w:pPr>
        <w:spacing w:before="120" w:after="120" w:line="288" w:lineRule="auto"/>
        <w:ind w:left="0"/>
        <w:jc w:val="left"/>
      </w:pPr>
      <w:r>
        <w:rPr>
          <w:rFonts w:ascii="Arial" w:hAnsi="Arial" w:eastAsia="等线" w:cs="Arial"/>
          <w:b/>
          <w:sz w:val="22"/>
        </w:rPr>
        <w:t>服务内容：</w:t>
      </w:r>
    </w:p>
    <w:p w14:paraId="7A592B7F">
      <w:pPr>
        <w:numPr>
          <w:ilvl w:val="0"/>
          <w:numId w:val="46"/>
        </w:numPr>
        <w:spacing w:before="120" w:after="120" w:line="288" w:lineRule="auto"/>
        <w:ind w:left="0"/>
        <w:jc w:val="left"/>
      </w:pPr>
      <w:r>
        <w:rPr>
          <w:rFonts w:ascii="Arial" w:hAnsi="Arial" w:eastAsia="等线" w:cs="Arial"/>
          <w:sz w:val="22"/>
        </w:rPr>
        <w:t>绿色燃料出口咨询：目标市场政策研究、准入条件分析、贸易合规指导、客户资源对接</w:t>
      </w:r>
    </w:p>
    <w:p w14:paraId="1EFE5DE3">
      <w:pPr>
        <w:numPr>
          <w:ilvl w:val="0"/>
          <w:numId w:val="47"/>
        </w:numPr>
        <w:spacing w:before="120" w:after="120" w:line="288" w:lineRule="auto"/>
        <w:ind w:left="0"/>
        <w:jc w:val="left"/>
      </w:pPr>
      <w:r>
        <w:rPr>
          <w:rFonts w:ascii="Arial" w:hAnsi="Arial" w:eastAsia="等线" w:cs="Arial"/>
          <w:sz w:val="22"/>
        </w:rPr>
        <w:t>国际标准互认服务：中国标准与国际标准（ISO、IMO、ICAO、欧盟标准）对标研究、互认推动</w:t>
      </w:r>
    </w:p>
    <w:p w14:paraId="6B885198">
      <w:pPr>
        <w:numPr>
          <w:ilvl w:val="0"/>
          <w:numId w:val="48"/>
        </w:numPr>
        <w:spacing w:before="120" w:after="120" w:line="288" w:lineRule="auto"/>
        <w:ind w:left="0"/>
        <w:jc w:val="left"/>
      </w:pPr>
      <w:r>
        <w:rPr>
          <w:rFonts w:ascii="Arial" w:hAnsi="Arial" w:eastAsia="等线" w:cs="Arial"/>
          <w:sz w:val="22"/>
        </w:rPr>
        <w:t>国际航运/航空绿色燃料供应对接：与国际航运公司、航空公司、港口运营商建立合作渠道</w:t>
      </w:r>
    </w:p>
    <w:p w14:paraId="6290B662">
      <w:pPr>
        <w:numPr>
          <w:ilvl w:val="0"/>
          <w:numId w:val="49"/>
        </w:numPr>
        <w:spacing w:before="120" w:after="120" w:line="288" w:lineRule="auto"/>
        <w:ind w:left="0"/>
        <w:jc w:val="left"/>
      </w:pPr>
      <w:r>
        <w:rPr>
          <w:rFonts w:ascii="Arial" w:hAnsi="Arial" w:eastAsia="等线" w:cs="Arial"/>
          <w:sz w:val="22"/>
        </w:rPr>
        <w:t>"一带一路"绿色燃料合作：依托研究会国际合作网络，推动中国绿色燃料技术、标准、服务出海</w:t>
      </w:r>
    </w:p>
    <w:p w14:paraId="5C23D2B3">
      <w:pPr>
        <w:spacing w:before="120" w:after="120" w:line="288" w:lineRule="auto"/>
        <w:ind w:left="0"/>
        <w:jc w:val="left"/>
      </w:pPr>
      <w:r>
        <w:rPr>
          <w:rFonts w:ascii="Arial" w:hAnsi="Arial" w:eastAsia="等线" w:cs="Arial"/>
          <w:b/>
          <w:sz w:val="22"/>
        </w:rPr>
        <w:t>目标客户：</w:t>
      </w:r>
      <w:r>
        <w:rPr>
          <w:rFonts w:ascii="Arial" w:hAnsi="Arial" w:eastAsia="等线" w:cs="Arial"/>
          <w:sz w:val="22"/>
        </w:rPr>
        <w:t>出口型绿色燃料生产企业、有国际化战略的能源企业</w:t>
      </w:r>
    </w:p>
    <w:p w14:paraId="044ACB1E">
      <w:pPr>
        <w:spacing w:before="120" w:after="120" w:line="288" w:lineRule="auto"/>
        <w:ind w:left="0"/>
        <w:jc w:val="left"/>
      </w:pPr>
      <w:r>
        <w:rPr>
          <w:rFonts w:ascii="Arial" w:hAnsi="Arial" w:eastAsia="等线" w:cs="Arial"/>
          <w:b/>
          <w:sz w:val="22"/>
        </w:rPr>
        <w:t>变现模式：</w:t>
      </w:r>
      <w:r>
        <w:rPr>
          <w:rFonts w:ascii="Arial" w:hAnsi="Arial" w:eastAsia="等线" w:cs="Arial"/>
          <w:sz w:val="22"/>
        </w:rPr>
        <w:t>咨询服务费（20万—100万元/项目），交易对接佣金，年度国际市场顾问费</w:t>
      </w:r>
    </w:p>
    <w:p w14:paraId="07361004">
      <w:pPr>
        <w:spacing w:before="120" w:after="120" w:line="288" w:lineRule="auto"/>
        <w:ind w:left="0"/>
        <w:jc w:val="left"/>
      </w:pPr>
      <w:r>
        <w:rPr>
          <w:rFonts w:ascii="Arial" w:hAnsi="Arial" w:eastAsia="等线" w:cs="Arial"/>
          <w:b/>
          <w:sz w:val="22"/>
        </w:rPr>
        <w:t>落地难度：</w:t>
      </w:r>
      <w:r>
        <w:rPr>
          <w:rFonts w:ascii="Arial" w:hAnsi="Arial" w:eastAsia="等线" w:cs="Arial"/>
          <w:sz w:val="22"/>
        </w:rPr>
        <w:t>高——需要国际资源积累，可依托研究会国际合作渠道逐步搭建</w:t>
      </w:r>
    </w:p>
    <w:p w14:paraId="615D168B">
      <w:pPr>
        <w:spacing w:before="300" w:after="120" w:line="288" w:lineRule="auto"/>
        <w:ind w:left="0"/>
        <w:jc w:val="left"/>
        <w:outlineLvl w:val="2"/>
      </w:pPr>
      <w:bookmarkStart w:id="23" w:name="heading_23"/>
      <w:r>
        <w:rPr>
          <w:rFonts w:ascii="Arial" w:hAnsi="Arial" w:eastAsia="等线" w:cs="Arial"/>
          <w:color w:val="3370FF"/>
          <w:sz w:val="30"/>
        </w:rPr>
        <w:t xml:space="preserve">4.3.4 </w:t>
      </w:r>
      <w:r>
        <w:rPr>
          <w:rFonts w:ascii="Arial" w:hAnsi="Arial" w:eastAsia="等线" w:cs="Arial"/>
          <w:b/>
          <w:sz w:val="30"/>
        </w:rPr>
        <w:t>方向十一：零碳园区/零碳工厂绿色燃料解决方案</w:t>
      </w:r>
      <w:bookmarkEnd w:id="23"/>
    </w:p>
    <w:p w14:paraId="7696BC52">
      <w:pPr>
        <w:spacing w:before="120" w:after="120" w:line="288" w:lineRule="auto"/>
        <w:ind w:left="0"/>
        <w:jc w:val="left"/>
      </w:pPr>
      <w:r>
        <w:rPr>
          <w:rFonts w:ascii="Arial" w:hAnsi="Arial" w:eastAsia="等线" w:cs="Arial"/>
          <w:b/>
          <w:sz w:val="22"/>
        </w:rPr>
        <w:t>服务内容：</w:t>
      </w:r>
    </w:p>
    <w:p w14:paraId="6DE06862">
      <w:pPr>
        <w:numPr>
          <w:ilvl w:val="0"/>
          <w:numId w:val="50"/>
        </w:numPr>
        <w:spacing w:before="120" w:after="120" w:line="288" w:lineRule="auto"/>
        <w:ind w:left="0"/>
        <w:jc w:val="left"/>
      </w:pPr>
      <w:r>
        <w:rPr>
          <w:rFonts w:ascii="Arial" w:hAnsi="Arial" w:eastAsia="等线" w:cs="Arial"/>
          <w:sz w:val="22"/>
        </w:rPr>
        <w:t>零碳园区绿色燃料供应方案：园区级绿色燃料需求评估、供应方案设计、加注设施规划</w:t>
      </w:r>
    </w:p>
    <w:p w14:paraId="47FA3188">
      <w:pPr>
        <w:numPr>
          <w:ilvl w:val="0"/>
          <w:numId w:val="51"/>
        </w:numPr>
        <w:spacing w:before="120" w:after="120" w:line="288" w:lineRule="auto"/>
        <w:ind w:left="0"/>
        <w:jc w:val="left"/>
      </w:pPr>
      <w:r>
        <w:rPr>
          <w:rFonts w:ascii="Arial" w:hAnsi="Arial" w:eastAsia="等线" w:cs="Arial"/>
          <w:sz w:val="22"/>
        </w:rPr>
        <w:t>零碳工厂绿色燃料替代方案：工业锅炉/窑炉绿色燃料替代、工艺用绿氢/绿氨替代方案</w:t>
      </w:r>
    </w:p>
    <w:p w14:paraId="50E521C2">
      <w:pPr>
        <w:numPr>
          <w:ilvl w:val="0"/>
          <w:numId w:val="52"/>
        </w:numPr>
        <w:spacing w:before="120" w:after="120" w:line="288" w:lineRule="auto"/>
        <w:ind w:left="0"/>
        <w:jc w:val="left"/>
      </w:pPr>
      <w:r>
        <w:rPr>
          <w:rFonts w:ascii="Arial" w:hAnsi="Arial" w:eastAsia="等线" w:cs="Arial"/>
          <w:sz w:val="22"/>
        </w:rPr>
        <w:t>园区能碳一体化管理：绿色燃料与绿电、储能、碳管理协同优化方案</w:t>
      </w:r>
    </w:p>
    <w:p w14:paraId="05818D4E">
      <w:pPr>
        <w:numPr>
          <w:ilvl w:val="0"/>
          <w:numId w:val="53"/>
        </w:numPr>
        <w:spacing w:before="120" w:after="120" w:line="288" w:lineRule="auto"/>
        <w:ind w:left="0"/>
        <w:jc w:val="left"/>
      </w:pPr>
      <w:r>
        <w:rPr>
          <w:rFonts w:ascii="Arial" w:hAnsi="Arial" w:eastAsia="等线" w:cs="Arial"/>
          <w:sz w:val="22"/>
        </w:rPr>
        <w:t>零碳园区/零碳工厂申报辅导：国家级零碳园区（100个）、零碳工厂（500个）申报全流程服务</w:t>
      </w:r>
    </w:p>
    <w:p w14:paraId="55F3F8B4">
      <w:pPr>
        <w:spacing w:before="120" w:after="120" w:line="288" w:lineRule="auto"/>
        <w:ind w:left="0"/>
        <w:jc w:val="left"/>
      </w:pPr>
      <w:r>
        <w:rPr>
          <w:rFonts w:ascii="Arial" w:hAnsi="Arial" w:eastAsia="等线" w:cs="Arial"/>
          <w:b/>
          <w:sz w:val="22"/>
        </w:rPr>
        <w:t>目标客户：</w:t>
      </w:r>
      <w:r>
        <w:rPr>
          <w:rFonts w:ascii="Arial" w:hAnsi="Arial" w:eastAsia="等线" w:cs="Arial"/>
          <w:sz w:val="22"/>
        </w:rPr>
        <w:t>国家级/省级工业园区、高耗能企业、地方政府</w:t>
      </w:r>
    </w:p>
    <w:p w14:paraId="46CFE4E5">
      <w:pPr>
        <w:spacing w:before="120" w:after="120" w:line="288" w:lineRule="auto"/>
        <w:ind w:left="0"/>
        <w:jc w:val="left"/>
      </w:pPr>
      <w:r>
        <w:rPr>
          <w:rFonts w:ascii="Arial" w:hAnsi="Arial" w:eastAsia="等线" w:cs="Arial"/>
          <w:b/>
          <w:sz w:val="22"/>
        </w:rPr>
        <w:t>变现模式：</w:t>
      </w:r>
      <w:r>
        <w:rPr>
          <w:rFonts w:ascii="Arial" w:hAnsi="Arial" w:eastAsia="等线" w:cs="Arial"/>
          <w:sz w:val="22"/>
        </w:rPr>
        <w:t>方案设计费（30万—100万元/项目），申报辅导费（20万—50万元），年度运营顾问费</w:t>
      </w:r>
    </w:p>
    <w:p w14:paraId="5DE556B9">
      <w:pPr>
        <w:spacing w:before="120" w:after="120" w:line="288" w:lineRule="auto"/>
        <w:ind w:left="0"/>
        <w:jc w:val="left"/>
      </w:pPr>
      <w:r>
        <w:rPr>
          <w:rFonts w:ascii="Arial" w:hAnsi="Arial" w:eastAsia="等线" w:cs="Arial"/>
          <w:b/>
          <w:sz w:val="22"/>
        </w:rPr>
        <w:t>落地难度：</w:t>
      </w:r>
      <w:r>
        <w:rPr>
          <w:rFonts w:ascii="Arial" w:hAnsi="Arial" w:eastAsia="等线" w:cs="Arial"/>
          <w:sz w:val="22"/>
        </w:rPr>
        <w:t>中——政策明确支持100个零碳园区和500个零碳工厂，市场空间明确</w:t>
      </w:r>
    </w:p>
    <w:p w14:paraId="62276908">
      <w:pPr>
        <w:spacing w:before="380" w:after="140" w:line="288" w:lineRule="auto"/>
        <w:ind w:left="0"/>
        <w:jc w:val="left"/>
        <w:outlineLvl w:val="0"/>
      </w:pPr>
      <w:bookmarkStart w:id="24" w:name="heading_24"/>
      <w:r>
        <w:rPr>
          <w:rFonts w:ascii="Arial" w:hAnsi="Arial" w:eastAsia="等线" w:cs="Arial"/>
          <w:color w:val="3370FF"/>
          <w:sz w:val="36"/>
        </w:rPr>
        <w:t xml:space="preserve">5. </w:t>
      </w:r>
      <w:r>
        <w:rPr>
          <w:rFonts w:ascii="Arial" w:hAnsi="Arial" w:eastAsia="等线" w:cs="Arial"/>
          <w:b/>
          <w:sz w:val="36"/>
        </w:rPr>
        <w:t>服务对象与切入策略</w:t>
      </w:r>
      <w:bookmarkEnd w:id="24"/>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215"/>
        <w:gridCol w:w="2820"/>
        <w:gridCol w:w="2025"/>
        <w:gridCol w:w="2220"/>
      </w:tblGrid>
      <w:tr w14:paraId="4E7B29E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215" w:type="dxa"/>
            <w:tcMar>
              <w:top w:w="60" w:type="dxa"/>
              <w:left w:w="120" w:type="dxa"/>
              <w:bottom w:w="30" w:type="dxa"/>
              <w:right w:w="120" w:type="dxa"/>
            </w:tcMar>
          </w:tcPr>
          <w:p w14:paraId="0BAEB0A2">
            <w:pPr>
              <w:spacing w:before="120" w:after="120" w:line="288" w:lineRule="auto"/>
              <w:ind w:left="0"/>
              <w:jc w:val="left"/>
            </w:pPr>
            <w:r>
              <w:rPr>
                <w:rFonts w:ascii="Arial" w:hAnsi="Arial" w:eastAsia="等线" w:cs="Arial"/>
                <w:sz w:val="22"/>
              </w:rPr>
              <w:t>服务对象</w:t>
            </w:r>
          </w:p>
        </w:tc>
        <w:tc>
          <w:tcPr>
            <w:tcW w:w="2820" w:type="dxa"/>
            <w:tcMar>
              <w:top w:w="60" w:type="dxa"/>
              <w:left w:w="120" w:type="dxa"/>
              <w:bottom w:w="30" w:type="dxa"/>
              <w:right w:w="120" w:type="dxa"/>
            </w:tcMar>
          </w:tcPr>
          <w:p w14:paraId="5386E75F">
            <w:pPr>
              <w:spacing w:before="120" w:after="120" w:line="288" w:lineRule="auto"/>
              <w:ind w:left="0"/>
              <w:jc w:val="left"/>
            </w:pPr>
            <w:r>
              <w:rPr>
                <w:rFonts w:ascii="Arial" w:hAnsi="Arial" w:eastAsia="等线" w:cs="Arial"/>
                <w:sz w:val="22"/>
              </w:rPr>
              <w:t>核心需求</w:t>
            </w:r>
          </w:p>
        </w:tc>
        <w:tc>
          <w:tcPr>
            <w:tcW w:w="2025" w:type="dxa"/>
            <w:tcMar>
              <w:top w:w="60" w:type="dxa"/>
              <w:left w:w="120" w:type="dxa"/>
              <w:bottom w:w="30" w:type="dxa"/>
              <w:right w:w="120" w:type="dxa"/>
            </w:tcMar>
          </w:tcPr>
          <w:p w14:paraId="55C3D147">
            <w:pPr>
              <w:spacing w:before="120" w:after="120" w:line="288" w:lineRule="auto"/>
              <w:ind w:left="0"/>
              <w:jc w:val="left"/>
            </w:pPr>
            <w:r>
              <w:rPr>
                <w:rFonts w:ascii="Arial" w:hAnsi="Arial" w:eastAsia="等线" w:cs="Arial"/>
                <w:sz w:val="22"/>
              </w:rPr>
              <w:t>优先服务内容</w:t>
            </w:r>
          </w:p>
        </w:tc>
        <w:tc>
          <w:tcPr>
            <w:tcW w:w="2220" w:type="dxa"/>
            <w:tcMar>
              <w:top w:w="60" w:type="dxa"/>
              <w:left w:w="120" w:type="dxa"/>
              <w:bottom w:w="30" w:type="dxa"/>
              <w:right w:w="120" w:type="dxa"/>
            </w:tcMar>
          </w:tcPr>
          <w:p w14:paraId="3EB7DEBA">
            <w:pPr>
              <w:spacing w:before="120" w:after="120" w:line="288" w:lineRule="auto"/>
              <w:ind w:left="0"/>
              <w:jc w:val="left"/>
            </w:pPr>
            <w:r>
              <w:rPr>
                <w:rFonts w:ascii="Arial" w:hAnsi="Arial" w:eastAsia="等线" w:cs="Arial"/>
                <w:sz w:val="22"/>
              </w:rPr>
              <w:t>切入策略</w:t>
            </w:r>
          </w:p>
        </w:tc>
      </w:tr>
      <w:tr w14:paraId="5A4D873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215" w:type="dxa"/>
            <w:tcMar>
              <w:top w:w="60" w:type="dxa"/>
              <w:left w:w="120" w:type="dxa"/>
              <w:bottom w:w="30" w:type="dxa"/>
              <w:right w:w="120" w:type="dxa"/>
            </w:tcMar>
          </w:tcPr>
          <w:p w14:paraId="4F2B9FB8">
            <w:pPr>
              <w:spacing w:before="120" w:after="120" w:line="288" w:lineRule="auto"/>
              <w:ind w:left="0"/>
              <w:jc w:val="left"/>
            </w:pPr>
            <w:r>
              <w:rPr>
                <w:rFonts w:ascii="Arial" w:hAnsi="Arial" w:eastAsia="等线" w:cs="Arial"/>
                <w:b/>
                <w:sz w:val="22"/>
              </w:rPr>
              <w:t>央国企</w:t>
            </w:r>
            <w:r>
              <w:rPr>
                <w:rFonts w:ascii="Arial" w:hAnsi="Arial" w:eastAsia="等线" w:cs="Arial"/>
                <w:sz w:val="22"/>
              </w:rPr>
              <w:br w:type="textWrapping"/>
            </w:r>
            <w:r>
              <w:rPr>
                <w:rFonts w:ascii="Arial" w:hAnsi="Arial" w:eastAsia="等线" w:cs="Arial"/>
                <w:sz w:val="22"/>
              </w:rPr>
              <w:t>（能源/化工/航运）</w:t>
            </w:r>
          </w:p>
        </w:tc>
        <w:tc>
          <w:tcPr>
            <w:tcW w:w="2820" w:type="dxa"/>
            <w:tcMar>
              <w:top w:w="60" w:type="dxa"/>
              <w:left w:w="120" w:type="dxa"/>
              <w:bottom w:w="30" w:type="dxa"/>
              <w:right w:w="120" w:type="dxa"/>
            </w:tcMar>
          </w:tcPr>
          <w:p w14:paraId="3CD93228">
            <w:pPr>
              <w:spacing w:before="120" w:after="120" w:line="288" w:lineRule="auto"/>
              <w:ind w:left="0"/>
              <w:jc w:val="left"/>
            </w:pPr>
            <w:r>
              <w:rPr>
                <w:rFonts w:ascii="Arial" w:hAnsi="Arial" w:eastAsia="等线" w:cs="Arial"/>
                <w:sz w:val="22"/>
              </w:rPr>
              <w:t>战略布局规划、试点项目申报、政策合规、标准参与、国际化发展</w:t>
            </w:r>
          </w:p>
        </w:tc>
        <w:tc>
          <w:tcPr>
            <w:tcW w:w="2025" w:type="dxa"/>
            <w:tcMar>
              <w:top w:w="60" w:type="dxa"/>
              <w:left w:w="120" w:type="dxa"/>
              <w:bottom w:w="30" w:type="dxa"/>
              <w:right w:w="120" w:type="dxa"/>
            </w:tcMar>
          </w:tcPr>
          <w:p w14:paraId="6F0FCFC2">
            <w:pPr>
              <w:spacing w:before="120" w:after="120" w:line="288" w:lineRule="auto"/>
              <w:ind w:left="0"/>
              <w:jc w:val="left"/>
            </w:pPr>
            <w:r>
              <w:rPr>
                <w:rFonts w:ascii="Arial" w:hAnsi="Arial" w:eastAsia="等线" w:cs="Arial"/>
                <w:sz w:val="22"/>
              </w:rPr>
              <w:t>政策研究与战略规划、项目前期咨询、标准认证咨询、国际市场服务</w:t>
            </w:r>
          </w:p>
        </w:tc>
        <w:tc>
          <w:tcPr>
            <w:tcW w:w="2220" w:type="dxa"/>
            <w:tcMar>
              <w:top w:w="60" w:type="dxa"/>
              <w:left w:w="120" w:type="dxa"/>
              <w:bottom w:w="30" w:type="dxa"/>
              <w:right w:w="120" w:type="dxa"/>
            </w:tcMar>
          </w:tcPr>
          <w:p w14:paraId="6284054B">
            <w:pPr>
              <w:spacing w:before="120" w:after="120" w:line="288" w:lineRule="auto"/>
              <w:ind w:left="0"/>
              <w:jc w:val="left"/>
            </w:pPr>
            <w:r>
              <w:rPr>
                <w:rFonts w:ascii="Arial" w:hAnsi="Arial" w:eastAsia="等线" w:cs="Arial"/>
                <w:sz w:val="22"/>
              </w:rPr>
              <w:t>依托品牌分会央企会员资源，以政策研究报告和专题培训为切入点，逐步深入项目咨询</w:t>
            </w:r>
          </w:p>
        </w:tc>
      </w:tr>
      <w:tr w14:paraId="2F2EFCA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215" w:type="dxa"/>
            <w:tcMar>
              <w:top w:w="60" w:type="dxa"/>
              <w:left w:w="120" w:type="dxa"/>
              <w:bottom w:w="30" w:type="dxa"/>
              <w:right w:w="120" w:type="dxa"/>
            </w:tcMar>
          </w:tcPr>
          <w:p w14:paraId="572C2022">
            <w:pPr>
              <w:spacing w:before="120" w:after="120" w:line="288" w:lineRule="auto"/>
              <w:ind w:left="0"/>
              <w:jc w:val="left"/>
            </w:pPr>
            <w:r>
              <w:rPr>
                <w:rFonts w:ascii="Arial" w:hAnsi="Arial" w:eastAsia="等线" w:cs="Arial"/>
                <w:b/>
                <w:sz w:val="22"/>
              </w:rPr>
              <w:t>供应链/EPC企业</w:t>
            </w:r>
          </w:p>
        </w:tc>
        <w:tc>
          <w:tcPr>
            <w:tcW w:w="2820" w:type="dxa"/>
            <w:tcMar>
              <w:top w:w="60" w:type="dxa"/>
              <w:left w:w="120" w:type="dxa"/>
              <w:bottom w:w="30" w:type="dxa"/>
              <w:right w:w="120" w:type="dxa"/>
            </w:tcMar>
          </w:tcPr>
          <w:p w14:paraId="2F670B28">
            <w:pPr>
              <w:spacing w:before="120" w:after="120" w:line="288" w:lineRule="auto"/>
              <w:ind w:left="0"/>
              <w:jc w:val="left"/>
            </w:pPr>
            <w:r>
              <w:rPr>
                <w:rFonts w:ascii="Arial" w:hAnsi="Arial" w:eastAsia="等线" w:cs="Arial"/>
                <w:sz w:val="22"/>
              </w:rPr>
              <w:t>技术路线选型、装备选型、工程技术支持、标准合规、供应链协同</w:t>
            </w:r>
          </w:p>
        </w:tc>
        <w:tc>
          <w:tcPr>
            <w:tcW w:w="2025" w:type="dxa"/>
            <w:tcMar>
              <w:top w:w="60" w:type="dxa"/>
              <w:left w:w="120" w:type="dxa"/>
              <w:bottom w:w="30" w:type="dxa"/>
              <w:right w:w="120" w:type="dxa"/>
            </w:tcMar>
          </w:tcPr>
          <w:p w14:paraId="2A883CAE">
            <w:pPr>
              <w:spacing w:before="120" w:after="120" w:line="288" w:lineRule="auto"/>
              <w:ind w:left="0"/>
              <w:jc w:val="left"/>
            </w:pPr>
            <w:r>
              <w:rPr>
                <w:rFonts w:ascii="Arial" w:hAnsi="Arial" w:eastAsia="等线" w:cs="Arial"/>
                <w:sz w:val="22"/>
              </w:rPr>
              <w:t>技术路线评估、装备选型咨询、标准体系建设、产业链对接</w:t>
            </w:r>
          </w:p>
        </w:tc>
        <w:tc>
          <w:tcPr>
            <w:tcW w:w="2220" w:type="dxa"/>
            <w:tcMar>
              <w:top w:w="60" w:type="dxa"/>
              <w:left w:w="120" w:type="dxa"/>
              <w:bottom w:w="30" w:type="dxa"/>
              <w:right w:w="120" w:type="dxa"/>
            </w:tcMar>
          </w:tcPr>
          <w:p w14:paraId="72B2DCE9">
            <w:pPr>
              <w:spacing w:before="120" w:after="120" w:line="288" w:lineRule="auto"/>
              <w:ind w:left="0"/>
              <w:jc w:val="left"/>
            </w:pPr>
            <w:r>
              <w:rPr>
                <w:rFonts w:ascii="Arial" w:hAnsi="Arial" w:eastAsia="等线" w:cs="Arial"/>
                <w:sz w:val="22"/>
              </w:rPr>
              <w:t>以技术评审和标准咨询为切入点，不做EPC竞争，做EPC企业的技术顾问</w:t>
            </w:r>
          </w:p>
        </w:tc>
      </w:tr>
      <w:tr w14:paraId="6A4D6F4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215" w:type="dxa"/>
            <w:tcMar>
              <w:top w:w="60" w:type="dxa"/>
              <w:left w:w="120" w:type="dxa"/>
              <w:bottom w:w="30" w:type="dxa"/>
              <w:right w:w="120" w:type="dxa"/>
            </w:tcMar>
          </w:tcPr>
          <w:p w14:paraId="10B77C45">
            <w:pPr>
              <w:spacing w:before="120" w:after="120" w:line="288" w:lineRule="auto"/>
              <w:ind w:left="0"/>
              <w:jc w:val="left"/>
            </w:pPr>
            <w:r>
              <w:rPr>
                <w:rFonts w:ascii="Arial" w:hAnsi="Arial" w:eastAsia="等线" w:cs="Arial"/>
                <w:b/>
                <w:sz w:val="22"/>
              </w:rPr>
              <w:t>设备厂商</w:t>
            </w:r>
          </w:p>
        </w:tc>
        <w:tc>
          <w:tcPr>
            <w:tcW w:w="2820" w:type="dxa"/>
            <w:tcMar>
              <w:top w:w="60" w:type="dxa"/>
              <w:left w:w="120" w:type="dxa"/>
              <w:bottom w:w="30" w:type="dxa"/>
              <w:right w:w="120" w:type="dxa"/>
            </w:tcMar>
          </w:tcPr>
          <w:p w14:paraId="6E4DA933">
            <w:pPr>
              <w:spacing w:before="120" w:after="120" w:line="288" w:lineRule="auto"/>
              <w:ind w:left="0"/>
              <w:jc w:val="left"/>
            </w:pPr>
            <w:r>
              <w:rPr>
                <w:rFonts w:ascii="Arial" w:hAnsi="Arial" w:eastAsia="等线" w:cs="Arial"/>
                <w:sz w:val="22"/>
              </w:rPr>
              <w:t>产品认证、标准参与、品牌推广、市场准入、客户对接</w:t>
            </w:r>
          </w:p>
        </w:tc>
        <w:tc>
          <w:tcPr>
            <w:tcW w:w="2025" w:type="dxa"/>
            <w:tcMar>
              <w:top w:w="60" w:type="dxa"/>
              <w:left w:w="120" w:type="dxa"/>
              <w:bottom w:w="30" w:type="dxa"/>
              <w:right w:w="120" w:type="dxa"/>
            </w:tcMar>
          </w:tcPr>
          <w:p w14:paraId="79107DFE">
            <w:pPr>
              <w:spacing w:before="120" w:after="120" w:line="288" w:lineRule="auto"/>
              <w:ind w:left="0"/>
              <w:jc w:val="left"/>
            </w:pPr>
            <w:r>
              <w:rPr>
                <w:rFonts w:ascii="Arial" w:hAnsi="Arial" w:eastAsia="等线" w:cs="Arial"/>
                <w:sz w:val="22"/>
              </w:rPr>
              <w:t>标准认证咨询、品牌推广、产业链对接、人才培训</w:t>
            </w:r>
          </w:p>
        </w:tc>
        <w:tc>
          <w:tcPr>
            <w:tcW w:w="2220" w:type="dxa"/>
            <w:tcMar>
              <w:top w:w="60" w:type="dxa"/>
              <w:left w:w="120" w:type="dxa"/>
              <w:bottom w:w="30" w:type="dxa"/>
              <w:right w:w="120" w:type="dxa"/>
            </w:tcMar>
          </w:tcPr>
          <w:p w14:paraId="0D66B43F">
            <w:pPr>
              <w:spacing w:before="120" w:after="120" w:line="288" w:lineRule="auto"/>
              <w:ind w:left="0"/>
              <w:jc w:val="left"/>
            </w:pPr>
            <w:r>
              <w:rPr>
                <w:rFonts w:ascii="Arial" w:hAnsi="Arial" w:eastAsia="等线" w:cs="Arial"/>
                <w:sz w:val="22"/>
              </w:rPr>
              <w:t>以标准参与和行业会议为切入点，帮助设备厂商提升行业影响力和客户获取能力</w:t>
            </w:r>
          </w:p>
        </w:tc>
      </w:tr>
      <w:tr w14:paraId="0262ABF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215" w:type="dxa"/>
            <w:tcMar>
              <w:top w:w="60" w:type="dxa"/>
              <w:left w:w="120" w:type="dxa"/>
              <w:bottom w:w="30" w:type="dxa"/>
              <w:right w:w="120" w:type="dxa"/>
            </w:tcMar>
          </w:tcPr>
          <w:p w14:paraId="6F730D84">
            <w:pPr>
              <w:spacing w:before="120" w:after="120" w:line="288" w:lineRule="auto"/>
              <w:ind w:left="0"/>
              <w:jc w:val="left"/>
            </w:pPr>
            <w:r>
              <w:rPr>
                <w:rFonts w:ascii="Arial" w:hAnsi="Arial" w:eastAsia="等线" w:cs="Arial"/>
                <w:b/>
                <w:sz w:val="22"/>
              </w:rPr>
              <w:t>运维服务企业</w:t>
            </w:r>
          </w:p>
        </w:tc>
        <w:tc>
          <w:tcPr>
            <w:tcW w:w="2820" w:type="dxa"/>
            <w:tcMar>
              <w:top w:w="60" w:type="dxa"/>
              <w:left w:w="120" w:type="dxa"/>
              <w:bottom w:w="30" w:type="dxa"/>
              <w:right w:w="120" w:type="dxa"/>
            </w:tcMar>
          </w:tcPr>
          <w:p w14:paraId="3CF47487">
            <w:pPr>
              <w:spacing w:before="120" w:after="120" w:line="288" w:lineRule="auto"/>
              <w:ind w:left="0"/>
              <w:jc w:val="left"/>
            </w:pPr>
            <w:r>
              <w:rPr>
                <w:rFonts w:ascii="Arial" w:hAnsi="Arial" w:eastAsia="等线" w:cs="Arial"/>
                <w:sz w:val="22"/>
              </w:rPr>
              <w:t>智能化运维工具、运维标准、人才培训、技术支持</w:t>
            </w:r>
          </w:p>
        </w:tc>
        <w:tc>
          <w:tcPr>
            <w:tcW w:w="2025" w:type="dxa"/>
            <w:tcMar>
              <w:top w:w="60" w:type="dxa"/>
              <w:left w:w="120" w:type="dxa"/>
              <w:bottom w:w="30" w:type="dxa"/>
              <w:right w:w="120" w:type="dxa"/>
            </w:tcMar>
          </w:tcPr>
          <w:p w14:paraId="0F546722">
            <w:pPr>
              <w:spacing w:before="120" w:after="120" w:line="288" w:lineRule="auto"/>
              <w:ind w:left="0"/>
              <w:jc w:val="left"/>
            </w:pPr>
            <w:r>
              <w:rPr>
                <w:rFonts w:ascii="Arial" w:hAnsi="Arial" w:eastAsia="等线" w:cs="Arial"/>
                <w:sz w:val="22"/>
              </w:rPr>
              <w:t>智能化运维平台、运维标准制定、人才培训、技术咨询</w:t>
            </w:r>
          </w:p>
        </w:tc>
        <w:tc>
          <w:tcPr>
            <w:tcW w:w="2220" w:type="dxa"/>
            <w:tcMar>
              <w:top w:w="60" w:type="dxa"/>
              <w:left w:w="120" w:type="dxa"/>
              <w:bottom w:w="30" w:type="dxa"/>
              <w:right w:w="120" w:type="dxa"/>
            </w:tcMar>
          </w:tcPr>
          <w:p w14:paraId="0331BC75">
            <w:pPr>
              <w:spacing w:before="120" w:after="120" w:line="288" w:lineRule="auto"/>
              <w:ind w:left="0"/>
              <w:jc w:val="left"/>
            </w:pPr>
            <w:r>
              <w:rPr>
                <w:rFonts w:ascii="Arial" w:hAnsi="Arial" w:eastAsia="等线" w:cs="Arial"/>
                <w:sz w:val="22"/>
              </w:rPr>
              <w:t>以SaaS平台和培训认证为切入点，与运维企业合作而非竞争</w:t>
            </w:r>
          </w:p>
        </w:tc>
      </w:tr>
      <w:tr w14:paraId="2F4A3EA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215" w:type="dxa"/>
            <w:tcMar>
              <w:top w:w="60" w:type="dxa"/>
              <w:left w:w="120" w:type="dxa"/>
              <w:bottom w:w="30" w:type="dxa"/>
              <w:right w:w="120" w:type="dxa"/>
            </w:tcMar>
          </w:tcPr>
          <w:p w14:paraId="67DA3878">
            <w:pPr>
              <w:spacing w:before="120" w:after="120" w:line="288" w:lineRule="auto"/>
              <w:ind w:left="0"/>
              <w:jc w:val="left"/>
            </w:pPr>
            <w:r>
              <w:rPr>
                <w:rFonts w:ascii="Arial" w:hAnsi="Arial" w:eastAsia="等线" w:cs="Arial"/>
                <w:b/>
                <w:sz w:val="22"/>
              </w:rPr>
              <w:t>消纳企业</w:t>
            </w:r>
            <w:r>
              <w:rPr>
                <w:rFonts w:ascii="Arial" w:hAnsi="Arial" w:eastAsia="等线" w:cs="Arial"/>
                <w:sz w:val="22"/>
              </w:rPr>
              <w:br w:type="textWrapping"/>
            </w:r>
            <w:r>
              <w:rPr>
                <w:rFonts w:ascii="Arial" w:hAnsi="Arial" w:eastAsia="等线" w:cs="Arial"/>
                <w:sz w:val="22"/>
              </w:rPr>
              <w:t>（航运/航空/化工）</w:t>
            </w:r>
          </w:p>
        </w:tc>
        <w:tc>
          <w:tcPr>
            <w:tcW w:w="2820" w:type="dxa"/>
            <w:tcMar>
              <w:top w:w="60" w:type="dxa"/>
              <w:left w:w="120" w:type="dxa"/>
              <w:bottom w:w="30" w:type="dxa"/>
              <w:right w:w="120" w:type="dxa"/>
            </w:tcMar>
          </w:tcPr>
          <w:p w14:paraId="58A2B37A">
            <w:pPr>
              <w:spacing w:before="120" w:after="120" w:line="288" w:lineRule="auto"/>
              <w:ind w:left="0"/>
              <w:jc w:val="left"/>
            </w:pPr>
            <w:r>
              <w:rPr>
                <w:rFonts w:ascii="Arial" w:hAnsi="Arial" w:eastAsia="等线" w:cs="Arial"/>
                <w:sz w:val="22"/>
              </w:rPr>
              <w:t>稳定供应保障、碳足迹核算、合规成本优化、加注设施规划</w:t>
            </w:r>
          </w:p>
        </w:tc>
        <w:tc>
          <w:tcPr>
            <w:tcW w:w="2025" w:type="dxa"/>
            <w:tcMar>
              <w:top w:w="60" w:type="dxa"/>
              <w:left w:w="120" w:type="dxa"/>
              <w:bottom w:w="30" w:type="dxa"/>
              <w:right w:w="120" w:type="dxa"/>
            </w:tcMar>
          </w:tcPr>
          <w:p w14:paraId="54D6A9E2">
            <w:pPr>
              <w:spacing w:before="120" w:after="120" w:line="288" w:lineRule="auto"/>
              <w:ind w:left="0"/>
              <w:jc w:val="left"/>
            </w:pPr>
            <w:r>
              <w:rPr>
                <w:rFonts w:ascii="Arial" w:hAnsi="Arial" w:eastAsia="等线" w:cs="Arial"/>
                <w:sz w:val="22"/>
              </w:rPr>
              <w:t>碳足迹核算、供应链对接、加注中心规划、零碳工厂方案</w:t>
            </w:r>
          </w:p>
        </w:tc>
        <w:tc>
          <w:tcPr>
            <w:tcW w:w="2220" w:type="dxa"/>
            <w:tcMar>
              <w:top w:w="60" w:type="dxa"/>
              <w:left w:w="120" w:type="dxa"/>
              <w:bottom w:w="30" w:type="dxa"/>
              <w:right w:w="120" w:type="dxa"/>
            </w:tcMar>
          </w:tcPr>
          <w:p w14:paraId="73FE9594">
            <w:pPr>
              <w:spacing w:before="120" w:after="120" w:line="288" w:lineRule="auto"/>
              <w:ind w:left="0"/>
              <w:jc w:val="left"/>
            </w:pPr>
            <w:r>
              <w:rPr>
                <w:rFonts w:ascii="Arial" w:hAnsi="Arial" w:eastAsia="等线" w:cs="Arial"/>
                <w:sz w:val="22"/>
              </w:rPr>
              <w:t>以碳足迹核算和供应链对接为切入点，帮助消纳企业降低合规成本和获取稳定供应</w:t>
            </w:r>
          </w:p>
        </w:tc>
      </w:tr>
    </w:tbl>
    <w:p w14:paraId="7795BB1F">
      <w:pPr>
        <w:spacing w:before="380" w:after="140" w:line="288" w:lineRule="auto"/>
        <w:ind w:left="0"/>
        <w:jc w:val="left"/>
        <w:outlineLvl w:val="0"/>
      </w:pPr>
      <w:bookmarkStart w:id="25" w:name="heading_25"/>
      <w:r>
        <w:rPr>
          <w:rFonts w:ascii="Arial" w:hAnsi="Arial" w:eastAsia="等线" w:cs="Arial"/>
          <w:color w:val="3370FF"/>
          <w:sz w:val="36"/>
        </w:rPr>
        <w:t xml:space="preserve">6. </w:t>
      </w:r>
      <w:r>
        <w:rPr>
          <w:rFonts w:ascii="Arial" w:hAnsi="Arial" w:eastAsia="等线" w:cs="Arial"/>
          <w:b/>
          <w:sz w:val="36"/>
        </w:rPr>
        <w:t>落地路径与节奏建议</w:t>
      </w:r>
      <w:bookmarkEnd w:id="25"/>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005"/>
        <w:gridCol w:w="1815"/>
        <w:gridCol w:w="3225"/>
        <w:gridCol w:w="2220"/>
      </w:tblGrid>
      <w:tr w14:paraId="1B2DA94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05" w:type="dxa"/>
            <w:tcMar>
              <w:top w:w="60" w:type="dxa"/>
              <w:left w:w="120" w:type="dxa"/>
              <w:bottom w:w="30" w:type="dxa"/>
              <w:right w:w="120" w:type="dxa"/>
            </w:tcMar>
          </w:tcPr>
          <w:p w14:paraId="718ED8B6">
            <w:pPr>
              <w:spacing w:before="120" w:after="120" w:line="288" w:lineRule="auto"/>
              <w:ind w:left="0"/>
              <w:jc w:val="left"/>
            </w:pPr>
            <w:r>
              <w:rPr>
                <w:rFonts w:ascii="Arial" w:hAnsi="Arial" w:eastAsia="等线" w:cs="Arial"/>
                <w:sz w:val="22"/>
              </w:rPr>
              <w:t>阶段</w:t>
            </w:r>
          </w:p>
        </w:tc>
        <w:tc>
          <w:tcPr>
            <w:tcW w:w="1815" w:type="dxa"/>
            <w:tcMar>
              <w:top w:w="60" w:type="dxa"/>
              <w:left w:w="120" w:type="dxa"/>
              <w:bottom w:w="30" w:type="dxa"/>
              <w:right w:w="120" w:type="dxa"/>
            </w:tcMar>
          </w:tcPr>
          <w:p w14:paraId="0630A188">
            <w:pPr>
              <w:spacing w:before="120" w:after="120" w:line="288" w:lineRule="auto"/>
              <w:ind w:left="0"/>
              <w:jc w:val="left"/>
            </w:pPr>
            <w:r>
              <w:rPr>
                <w:rFonts w:ascii="Arial" w:hAnsi="Arial" w:eastAsia="等线" w:cs="Arial"/>
                <w:sz w:val="22"/>
              </w:rPr>
              <w:t>时间</w:t>
            </w:r>
          </w:p>
        </w:tc>
        <w:tc>
          <w:tcPr>
            <w:tcW w:w="3225" w:type="dxa"/>
            <w:tcMar>
              <w:top w:w="60" w:type="dxa"/>
              <w:left w:w="120" w:type="dxa"/>
              <w:bottom w:w="30" w:type="dxa"/>
              <w:right w:w="120" w:type="dxa"/>
            </w:tcMar>
          </w:tcPr>
          <w:p w14:paraId="2EE46A38">
            <w:pPr>
              <w:spacing w:before="120" w:after="120" w:line="288" w:lineRule="auto"/>
              <w:ind w:left="0"/>
              <w:jc w:val="left"/>
            </w:pPr>
            <w:r>
              <w:rPr>
                <w:rFonts w:ascii="Arial" w:hAnsi="Arial" w:eastAsia="等线" w:cs="Arial"/>
                <w:sz w:val="22"/>
              </w:rPr>
              <w:t>重点任务</w:t>
            </w:r>
          </w:p>
        </w:tc>
        <w:tc>
          <w:tcPr>
            <w:tcW w:w="2220" w:type="dxa"/>
            <w:tcMar>
              <w:top w:w="60" w:type="dxa"/>
              <w:left w:w="120" w:type="dxa"/>
              <w:bottom w:w="30" w:type="dxa"/>
              <w:right w:w="120" w:type="dxa"/>
            </w:tcMar>
          </w:tcPr>
          <w:p w14:paraId="3F6D58B9">
            <w:pPr>
              <w:spacing w:before="120" w:after="120" w:line="288" w:lineRule="auto"/>
              <w:ind w:left="0"/>
              <w:jc w:val="left"/>
            </w:pPr>
            <w:r>
              <w:rPr>
                <w:rFonts w:ascii="Arial" w:hAnsi="Arial" w:eastAsia="等线" w:cs="Arial"/>
                <w:sz w:val="22"/>
              </w:rPr>
              <w:t>目标</w:t>
            </w:r>
          </w:p>
        </w:tc>
      </w:tr>
      <w:tr w14:paraId="79AD073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05" w:type="dxa"/>
            <w:tcMar>
              <w:top w:w="60" w:type="dxa"/>
              <w:left w:w="120" w:type="dxa"/>
              <w:bottom w:w="30" w:type="dxa"/>
              <w:right w:w="120" w:type="dxa"/>
            </w:tcMar>
          </w:tcPr>
          <w:p w14:paraId="65E2DA80">
            <w:pPr>
              <w:spacing w:before="120" w:after="120" w:line="288" w:lineRule="auto"/>
              <w:ind w:left="0"/>
              <w:jc w:val="left"/>
            </w:pPr>
            <w:r>
              <w:rPr>
                <w:rFonts w:ascii="Arial" w:hAnsi="Arial" w:eastAsia="等线" w:cs="Arial"/>
                <w:b/>
                <w:sz w:val="22"/>
              </w:rPr>
              <w:t>第一阶段</w:t>
            </w:r>
            <w:r>
              <w:rPr>
                <w:rFonts w:ascii="Arial" w:hAnsi="Arial" w:eastAsia="等线" w:cs="Arial"/>
                <w:b/>
                <w:sz w:val="22"/>
              </w:rPr>
              <w:br w:type="textWrapping"/>
            </w:r>
            <w:r>
              <w:rPr>
                <w:rFonts w:ascii="Arial" w:hAnsi="Arial" w:eastAsia="等线" w:cs="Arial"/>
                <w:b/>
                <w:sz w:val="22"/>
              </w:rPr>
              <w:t>启动期</w:t>
            </w:r>
          </w:p>
        </w:tc>
        <w:tc>
          <w:tcPr>
            <w:tcW w:w="1815" w:type="dxa"/>
            <w:tcMar>
              <w:top w:w="60" w:type="dxa"/>
              <w:left w:w="120" w:type="dxa"/>
              <w:bottom w:w="30" w:type="dxa"/>
              <w:right w:w="120" w:type="dxa"/>
            </w:tcMar>
          </w:tcPr>
          <w:p w14:paraId="491F6A2B">
            <w:pPr>
              <w:spacing w:before="120" w:after="120" w:line="288" w:lineRule="auto"/>
              <w:ind w:left="0"/>
              <w:jc w:val="left"/>
            </w:pPr>
            <w:r>
              <w:rPr>
                <w:rFonts w:ascii="Arial" w:hAnsi="Arial" w:eastAsia="等线" w:cs="Arial"/>
                <w:sz w:val="22"/>
              </w:rPr>
              <w:t>2026年Q3—Q4</w:t>
            </w:r>
          </w:p>
        </w:tc>
        <w:tc>
          <w:tcPr>
            <w:tcW w:w="3225" w:type="dxa"/>
            <w:tcMar>
              <w:top w:w="60" w:type="dxa"/>
              <w:left w:w="120" w:type="dxa"/>
              <w:bottom w:w="30" w:type="dxa"/>
              <w:right w:w="120" w:type="dxa"/>
            </w:tcMar>
          </w:tcPr>
          <w:p w14:paraId="73D23581">
            <w:pPr>
              <w:spacing w:before="120" w:after="120" w:line="288" w:lineRule="auto"/>
              <w:ind w:left="0"/>
              <w:jc w:val="left"/>
            </w:pPr>
            <w:r>
              <w:rPr>
                <w:rFonts w:ascii="Arial" w:hAnsi="Arial" w:eastAsia="等线" w:cs="Arial"/>
                <w:sz w:val="22"/>
              </w:rPr>
              <w:t>组建绿色燃料业务团队（3—5人）；发布首份绿色燃料产业研究报告；启动3项核心业务（前期咨询、标准认证、政策研究）；与2—3家央国企建立合作；举办1场行业研讨会</w:t>
            </w:r>
          </w:p>
        </w:tc>
        <w:tc>
          <w:tcPr>
            <w:tcW w:w="2220" w:type="dxa"/>
            <w:tcMar>
              <w:top w:w="60" w:type="dxa"/>
              <w:left w:w="120" w:type="dxa"/>
              <w:bottom w:w="30" w:type="dxa"/>
              <w:right w:w="120" w:type="dxa"/>
            </w:tcMar>
          </w:tcPr>
          <w:p w14:paraId="383A8524">
            <w:pPr>
              <w:spacing w:before="120" w:after="120" w:line="288" w:lineRule="auto"/>
              <w:ind w:left="0"/>
              <w:jc w:val="left"/>
            </w:pPr>
            <w:r>
              <w:rPr>
                <w:rFonts w:ascii="Arial" w:hAnsi="Arial" w:eastAsia="等线" w:cs="Arial"/>
                <w:sz w:val="22"/>
              </w:rPr>
              <w:t>实现营收50万—100万元；建立行业初步影响力；验证商业模式</w:t>
            </w:r>
          </w:p>
        </w:tc>
      </w:tr>
      <w:tr w14:paraId="04F3EFE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05" w:type="dxa"/>
            <w:tcMar>
              <w:top w:w="60" w:type="dxa"/>
              <w:left w:w="120" w:type="dxa"/>
              <w:bottom w:w="30" w:type="dxa"/>
              <w:right w:w="120" w:type="dxa"/>
            </w:tcMar>
          </w:tcPr>
          <w:p w14:paraId="0EE37431">
            <w:pPr>
              <w:spacing w:before="120" w:after="120" w:line="288" w:lineRule="auto"/>
              <w:ind w:left="0"/>
              <w:jc w:val="left"/>
            </w:pPr>
            <w:r>
              <w:rPr>
                <w:rFonts w:ascii="Arial" w:hAnsi="Arial" w:eastAsia="等线" w:cs="Arial"/>
                <w:b/>
                <w:sz w:val="22"/>
              </w:rPr>
              <w:t>第二阶段</w:t>
            </w:r>
            <w:r>
              <w:rPr>
                <w:rFonts w:ascii="Arial" w:hAnsi="Arial" w:eastAsia="等线" w:cs="Arial"/>
                <w:b/>
                <w:sz w:val="22"/>
              </w:rPr>
              <w:br w:type="textWrapping"/>
            </w:r>
            <w:r>
              <w:rPr>
                <w:rFonts w:ascii="Arial" w:hAnsi="Arial" w:eastAsia="等线" w:cs="Arial"/>
                <w:b/>
                <w:sz w:val="22"/>
              </w:rPr>
              <w:t>成长期</w:t>
            </w:r>
          </w:p>
        </w:tc>
        <w:tc>
          <w:tcPr>
            <w:tcW w:w="1815" w:type="dxa"/>
            <w:tcMar>
              <w:top w:w="60" w:type="dxa"/>
              <w:left w:w="120" w:type="dxa"/>
              <w:bottom w:w="30" w:type="dxa"/>
              <w:right w:w="120" w:type="dxa"/>
            </w:tcMar>
          </w:tcPr>
          <w:p w14:paraId="43970E93">
            <w:pPr>
              <w:spacing w:before="120" w:after="120" w:line="288" w:lineRule="auto"/>
              <w:ind w:left="0"/>
              <w:jc w:val="left"/>
            </w:pPr>
            <w:r>
              <w:rPr>
                <w:rFonts w:ascii="Arial" w:hAnsi="Arial" w:eastAsia="等线" w:cs="Arial"/>
                <w:sz w:val="22"/>
              </w:rPr>
              <w:t>2027年</w:t>
            </w:r>
          </w:p>
        </w:tc>
        <w:tc>
          <w:tcPr>
            <w:tcW w:w="3225" w:type="dxa"/>
            <w:tcMar>
              <w:top w:w="60" w:type="dxa"/>
              <w:left w:w="120" w:type="dxa"/>
              <w:bottom w:w="30" w:type="dxa"/>
              <w:right w:w="120" w:type="dxa"/>
            </w:tcMar>
          </w:tcPr>
          <w:p w14:paraId="65D3BD99">
            <w:pPr>
              <w:spacing w:before="120" w:after="120" w:line="288" w:lineRule="auto"/>
              <w:ind w:left="0"/>
              <w:jc w:val="left"/>
            </w:pPr>
            <w:r>
              <w:rPr>
                <w:rFonts w:ascii="Arial" w:hAnsi="Arial" w:eastAsia="等线" w:cs="Arial"/>
                <w:sz w:val="22"/>
              </w:rPr>
              <w:t>核心业务规模化复制；拓展增值业务（产业链对接、人才培训、品牌推广）；开发CCER方法学；搭建专家智库合作网络；举办年度绿色燃料峰会</w:t>
            </w:r>
          </w:p>
        </w:tc>
        <w:tc>
          <w:tcPr>
            <w:tcW w:w="2220" w:type="dxa"/>
            <w:tcMar>
              <w:top w:w="60" w:type="dxa"/>
              <w:left w:w="120" w:type="dxa"/>
              <w:bottom w:w="30" w:type="dxa"/>
              <w:right w:w="120" w:type="dxa"/>
            </w:tcMar>
          </w:tcPr>
          <w:p w14:paraId="16738FF4">
            <w:pPr>
              <w:spacing w:before="120" w:after="120" w:line="288" w:lineRule="auto"/>
              <w:ind w:left="0"/>
              <w:jc w:val="left"/>
            </w:pPr>
            <w:r>
              <w:rPr>
                <w:rFonts w:ascii="Arial" w:hAnsi="Arial" w:eastAsia="等线" w:cs="Arial"/>
                <w:sz w:val="22"/>
              </w:rPr>
              <w:t>实现营收300万—500万元；服务客户20家以上；形成2—3个标杆案例</w:t>
            </w:r>
          </w:p>
        </w:tc>
      </w:tr>
      <w:tr w14:paraId="34D93E9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05" w:type="dxa"/>
            <w:tcMar>
              <w:top w:w="60" w:type="dxa"/>
              <w:left w:w="120" w:type="dxa"/>
              <w:bottom w:w="30" w:type="dxa"/>
              <w:right w:w="120" w:type="dxa"/>
            </w:tcMar>
          </w:tcPr>
          <w:p w14:paraId="421A6D64">
            <w:pPr>
              <w:spacing w:before="120" w:after="120" w:line="288" w:lineRule="auto"/>
              <w:ind w:left="0"/>
              <w:jc w:val="left"/>
            </w:pPr>
            <w:r>
              <w:rPr>
                <w:rFonts w:ascii="Arial" w:hAnsi="Arial" w:eastAsia="等线" w:cs="Arial"/>
                <w:b/>
                <w:sz w:val="22"/>
              </w:rPr>
              <w:t>第三阶段</w:t>
            </w:r>
            <w:r>
              <w:rPr>
                <w:rFonts w:ascii="Arial" w:hAnsi="Arial" w:eastAsia="等线" w:cs="Arial"/>
                <w:b/>
                <w:sz w:val="22"/>
              </w:rPr>
              <w:br w:type="textWrapping"/>
            </w:r>
            <w:r>
              <w:rPr>
                <w:rFonts w:ascii="Arial" w:hAnsi="Arial" w:eastAsia="等线" w:cs="Arial"/>
                <w:b/>
                <w:sz w:val="22"/>
              </w:rPr>
              <w:t>扩张期</w:t>
            </w:r>
          </w:p>
        </w:tc>
        <w:tc>
          <w:tcPr>
            <w:tcW w:w="1815" w:type="dxa"/>
            <w:tcMar>
              <w:top w:w="60" w:type="dxa"/>
              <w:left w:w="120" w:type="dxa"/>
              <w:bottom w:w="30" w:type="dxa"/>
              <w:right w:w="120" w:type="dxa"/>
            </w:tcMar>
          </w:tcPr>
          <w:p w14:paraId="7CDFB50C">
            <w:pPr>
              <w:spacing w:before="120" w:after="120" w:line="288" w:lineRule="auto"/>
              <w:ind w:left="0"/>
              <w:jc w:val="left"/>
            </w:pPr>
            <w:r>
              <w:rPr>
                <w:rFonts w:ascii="Arial" w:hAnsi="Arial" w:eastAsia="等线" w:cs="Arial"/>
                <w:sz w:val="22"/>
              </w:rPr>
              <w:t>2028年—2029年</w:t>
            </w:r>
          </w:p>
        </w:tc>
        <w:tc>
          <w:tcPr>
            <w:tcW w:w="3225" w:type="dxa"/>
            <w:tcMar>
              <w:top w:w="60" w:type="dxa"/>
              <w:left w:w="120" w:type="dxa"/>
              <w:bottom w:w="30" w:type="dxa"/>
              <w:right w:w="120" w:type="dxa"/>
            </w:tcMar>
          </w:tcPr>
          <w:p w14:paraId="32B981FE">
            <w:pPr>
              <w:spacing w:before="120" w:after="120" w:line="288" w:lineRule="auto"/>
              <w:ind w:left="0"/>
              <w:jc w:val="left"/>
            </w:pPr>
            <w:r>
              <w:rPr>
                <w:rFonts w:ascii="Arial" w:hAnsi="Arial" w:eastAsia="等线" w:cs="Arial"/>
                <w:sz w:val="22"/>
              </w:rPr>
              <w:t>启动智能化运维平台开发；布局绿色燃料交易认证平台；拓展零碳园区解决方案；探索国际市场服务；建立行业数据库和指数体系</w:t>
            </w:r>
          </w:p>
        </w:tc>
        <w:tc>
          <w:tcPr>
            <w:tcW w:w="2220" w:type="dxa"/>
            <w:tcMar>
              <w:top w:w="60" w:type="dxa"/>
              <w:left w:w="120" w:type="dxa"/>
              <w:bottom w:w="30" w:type="dxa"/>
              <w:right w:w="120" w:type="dxa"/>
            </w:tcMar>
          </w:tcPr>
          <w:p w14:paraId="757F440C">
            <w:pPr>
              <w:spacing w:before="120" w:after="120" w:line="288" w:lineRule="auto"/>
              <w:ind w:left="0"/>
              <w:jc w:val="left"/>
            </w:pPr>
            <w:r>
              <w:rPr>
                <w:rFonts w:ascii="Arial" w:hAnsi="Arial" w:eastAsia="等线" w:cs="Arial"/>
                <w:sz w:val="22"/>
              </w:rPr>
              <w:t>实现营收1000万元以上；成为绿色燃料领域领先的轻资产综合服务商</w:t>
            </w:r>
          </w:p>
        </w:tc>
      </w:tr>
      <w:tr w14:paraId="1B49C06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05" w:type="dxa"/>
            <w:tcMar>
              <w:top w:w="60" w:type="dxa"/>
              <w:left w:w="120" w:type="dxa"/>
              <w:bottom w:w="30" w:type="dxa"/>
              <w:right w:w="120" w:type="dxa"/>
            </w:tcMar>
          </w:tcPr>
          <w:p w14:paraId="45DED7DE">
            <w:pPr>
              <w:spacing w:before="120" w:after="120" w:line="288" w:lineRule="auto"/>
              <w:ind w:left="0"/>
              <w:jc w:val="left"/>
            </w:pPr>
            <w:r>
              <w:rPr>
                <w:rFonts w:ascii="Arial" w:hAnsi="Arial" w:eastAsia="等线" w:cs="Arial"/>
                <w:b/>
                <w:sz w:val="22"/>
              </w:rPr>
              <w:t>第四阶段</w:t>
            </w:r>
            <w:r>
              <w:rPr>
                <w:rFonts w:ascii="Arial" w:hAnsi="Arial" w:eastAsia="等线" w:cs="Arial"/>
                <w:b/>
                <w:sz w:val="22"/>
              </w:rPr>
              <w:br w:type="textWrapping"/>
            </w:r>
            <w:r>
              <w:rPr>
                <w:rFonts w:ascii="Arial" w:hAnsi="Arial" w:eastAsia="等线" w:cs="Arial"/>
                <w:b/>
                <w:sz w:val="22"/>
              </w:rPr>
              <w:t>领先期</w:t>
            </w:r>
          </w:p>
        </w:tc>
        <w:tc>
          <w:tcPr>
            <w:tcW w:w="1815" w:type="dxa"/>
            <w:tcMar>
              <w:top w:w="60" w:type="dxa"/>
              <w:left w:w="120" w:type="dxa"/>
              <w:bottom w:w="30" w:type="dxa"/>
              <w:right w:w="120" w:type="dxa"/>
            </w:tcMar>
          </w:tcPr>
          <w:p w14:paraId="4B2D5119">
            <w:pPr>
              <w:spacing w:before="120" w:after="120" w:line="288" w:lineRule="auto"/>
              <w:ind w:left="0"/>
              <w:jc w:val="left"/>
            </w:pPr>
            <w:r>
              <w:rPr>
                <w:rFonts w:ascii="Arial" w:hAnsi="Arial" w:eastAsia="等线" w:cs="Arial"/>
                <w:sz w:val="22"/>
              </w:rPr>
              <w:t>2030年及以后</w:t>
            </w:r>
          </w:p>
        </w:tc>
        <w:tc>
          <w:tcPr>
            <w:tcW w:w="3225" w:type="dxa"/>
            <w:tcMar>
              <w:top w:w="60" w:type="dxa"/>
              <w:left w:w="120" w:type="dxa"/>
              <w:bottom w:w="30" w:type="dxa"/>
              <w:right w:w="120" w:type="dxa"/>
            </w:tcMar>
          </w:tcPr>
          <w:p w14:paraId="0963B2A1">
            <w:pPr>
              <w:spacing w:before="120" w:after="120" w:line="288" w:lineRule="auto"/>
              <w:ind w:left="0"/>
              <w:jc w:val="left"/>
            </w:pPr>
            <w:r>
              <w:rPr>
                <w:rFonts w:ascii="Arial" w:hAnsi="Arial" w:eastAsia="等线" w:cs="Arial"/>
                <w:sz w:val="22"/>
              </w:rPr>
              <w:t>平台化运营；数字化服务体系成熟；国际市场服务网络建立；行业标准制定主导权提升；探索数据资产变现</w:t>
            </w:r>
          </w:p>
        </w:tc>
        <w:tc>
          <w:tcPr>
            <w:tcW w:w="2220" w:type="dxa"/>
            <w:tcMar>
              <w:top w:w="60" w:type="dxa"/>
              <w:left w:w="120" w:type="dxa"/>
              <w:bottom w:w="30" w:type="dxa"/>
              <w:right w:w="120" w:type="dxa"/>
            </w:tcMar>
          </w:tcPr>
          <w:p w14:paraId="677BCABE">
            <w:pPr>
              <w:spacing w:before="120" w:after="120" w:line="288" w:lineRule="auto"/>
              <w:ind w:left="0"/>
              <w:jc w:val="left"/>
            </w:pPr>
            <w:r>
              <w:rPr>
                <w:rFonts w:ascii="Arial" w:hAnsi="Arial" w:eastAsia="等线" w:cs="Arial"/>
                <w:sz w:val="22"/>
              </w:rPr>
              <w:t>成为绿色燃料产业不可或缺的基础设施级服务平台</w:t>
            </w:r>
          </w:p>
        </w:tc>
      </w:tr>
    </w:tbl>
    <w:p w14:paraId="67B858A8">
      <w:pPr>
        <w:spacing w:before="380" w:after="140" w:line="288" w:lineRule="auto"/>
        <w:ind w:left="0"/>
        <w:jc w:val="left"/>
        <w:outlineLvl w:val="0"/>
      </w:pPr>
      <w:bookmarkStart w:id="26" w:name="heading_26"/>
      <w:r>
        <w:rPr>
          <w:rFonts w:ascii="Arial" w:hAnsi="Arial" w:eastAsia="等线" w:cs="Arial"/>
          <w:color w:val="3370FF"/>
          <w:sz w:val="36"/>
        </w:rPr>
        <w:t xml:space="preserve">7. </w:t>
      </w:r>
      <w:r>
        <w:rPr>
          <w:rFonts w:ascii="Arial" w:hAnsi="Arial" w:eastAsia="等线" w:cs="Arial"/>
          <w:b/>
          <w:sz w:val="36"/>
        </w:rPr>
        <w:t>风险与应对</w:t>
      </w:r>
      <w:bookmarkEnd w:id="26"/>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410"/>
        <w:gridCol w:w="3030"/>
        <w:gridCol w:w="3840"/>
      </w:tblGrid>
      <w:tr w14:paraId="2C5A8CA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410" w:type="dxa"/>
            <w:tcMar>
              <w:top w:w="60" w:type="dxa"/>
              <w:left w:w="120" w:type="dxa"/>
              <w:bottom w:w="30" w:type="dxa"/>
              <w:right w:w="120" w:type="dxa"/>
            </w:tcMar>
          </w:tcPr>
          <w:p w14:paraId="6B42BF76">
            <w:pPr>
              <w:spacing w:before="120" w:after="120" w:line="288" w:lineRule="auto"/>
              <w:ind w:left="0"/>
              <w:jc w:val="left"/>
            </w:pPr>
            <w:r>
              <w:rPr>
                <w:rFonts w:ascii="Arial" w:hAnsi="Arial" w:eastAsia="等线" w:cs="Arial"/>
                <w:sz w:val="22"/>
              </w:rPr>
              <w:t>风险类型</w:t>
            </w:r>
          </w:p>
        </w:tc>
        <w:tc>
          <w:tcPr>
            <w:tcW w:w="3030" w:type="dxa"/>
            <w:tcMar>
              <w:top w:w="60" w:type="dxa"/>
              <w:left w:w="120" w:type="dxa"/>
              <w:bottom w:w="30" w:type="dxa"/>
              <w:right w:w="120" w:type="dxa"/>
            </w:tcMar>
          </w:tcPr>
          <w:p w14:paraId="3D5D8A8F">
            <w:pPr>
              <w:spacing w:before="120" w:after="120" w:line="288" w:lineRule="auto"/>
              <w:ind w:left="0"/>
              <w:jc w:val="left"/>
            </w:pPr>
            <w:r>
              <w:rPr>
                <w:rFonts w:ascii="Arial" w:hAnsi="Arial" w:eastAsia="等线" w:cs="Arial"/>
                <w:sz w:val="22"/>
              </w:rPr>
              <w:t>具体风险</w:t>
            </w:r>
          </w:p>
        </w:tc>
        <w:tc>
          <w:tcPr>
            <w:tcW w:w="3840" w:type="dxa"/>
            <w:tcMar>
              <w:top w:w="60" w:type="dxa"/>
              <w:left w:w="120" w:type="dxa"/>
              <w:bottom w:w="30" w:type="dxa"/>
              <w:right w:w="120" w:type="dxa"/>
            </w:tcMar>
          </w:tcPr>
          <w:p w14:paraId="7A075CC9">
            <w:pPr>
              <w:spacing w:before="120" w:after="120" w:line="288" w:lineRule="auto"/>
              <w:ind w:left="0"/>
              <w:jc w:val="left"/>
            </w:pPr>
            <w:r>
              <w:rPr>
                <w:rFonts w:ascii="Arial" w:hAnsi="Arial" w:eastAsia="等线" w:cs="Arial"/>
                <w:sz w:val="22"/>
              </w:rPr>
              <w:t>应对措施</w:t>
            </w:r>
          </w:p>
        </w:tc>
      </w:tr>
      <w:tr w14:paraId="47595BA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410" w:type="dxa"/>
            <w:tcMar>
              <w:top w:w="60" w:type="dxa"/>
              <w:left w:w="120" w:type="dxa"/>
              <w:bottom w:w="30" w:type="dxa"/>
              <w:right w:w="120" w:type="dxa"/>
            </w:tcMar>
          </w:tcPr>
          <w:p w14:paraId="7F1FF9CC">
            <w:pPr>
              <w:spacing w:before="120" w:after="120" w:line="288" w:lineRule="auto"/>
              <w:ind w:left="0"/>
              <w:jc w:val="left"/>
            </w:pPr>
            <w:r>
              <w:rPr>
                <w:rFonts w:ascii="Arial" w:hAnsi="Arial" w:eastAsia="等线" w:cs="Arial"/>
                <w:b/>
                <w:sz w:val="22"/>
              </w:rPr>
              <w:t>政策风险</w:t>
            </w:r>
          </w:p>
        </w:tc>
        <w:tc>
          <w:tcPr>
            <w:tcW w:w="3030" w:type="dxa"/>
            <w:tcMar>
              <w:top w:w="60" w:type="dxa"/>
              <w:left w:w="120" w:type="dxa"/>
              <w:bottom w:w="30" w:type="dxa"/>
              <w:right w:w="120" w:type="dxa"/>
            </w:tcMar>
          </w:tcPr>
          <w:p w14:paraId="5BADED11">
            <w:pPr>
              <w:spacing w:before="120" w:after="120" w:line="288" w:lineRule="auto"/>
              <w:ind w:left="0"/>
              <w:jc w:val="left"/>
            </w:pPr>
            <w:r>
              <w:rPr>
                <w:rFonts w:ascii="Arial" w:hAnsi="Arial" w:eastAsia="等线" w:cs="Arial"/>
                <w:sz w:val="22"/>
              </w:rPr>
              <w:t>绿色燃料政策支持力度不及预期；补贴退坡；试点政策变化</w:t>
            </w:r>
          </w:p>
        </w:tc>
        <w:tc>
          <w:tcPr>
            <w:tcW w:w="3840" w:type="dxa"/>
            <w:tcMar>
              <w:top w:w="60" w:type="dxa"/>
              <w:left w:w="120" w:type="dxa"/>
              <w:bottom w:w="30" w:type="dxa"/>
              <w:right w:w="120" w:type="dxa"/>
            </w:tcMar>
          </w:tcPr>
          <w:p w14:paraId="44CAAC9D">
            <w:pPr>
              <w:spacing w:before="120" w:after="120" w:line="288" w:lineRule="auto"/>
              <w:ind w:left="0"/>
              <w:jc w:val="left"/>
            </w:pPr>
            <w:r>
              <w:rPr>
                <w:rFonts w:ascii="Arial" w:hAnsi="Arial" w:eastAsia="等线" w:cs="Arial"/>
                <w:sz w:val="22"/>
              </w:rPr>
              <w:t>依托品牌分会政策研究能力，提前研判政策趋势；业务布局不依赖单一政策，多方向分散风险；聚焦市场化需求强的服务（碳足迹、国际合规）</w:t>
            </w:r>
          </w:p>
        </w:tc>
      </w:tr>
      <w:tr w14:paraId="2721545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410" w:type="dxa"/>
            <w:tcMar>
              <w:top w:w="60" w:type="dxa"/>
              <w:left w:w="120" w:type="dxa"/>
              <w:bottom w:w="30" w:type="dxa"/>
              <w:right w:w="120" w:type="dxa"/>
            </w:tcMar>
          </w:tcPr>
          <w:p w14:paraId="31C84592">
            <w:pPr>
              <w:spacing w:before="120" w:after="120" w:line="288" w:lineRule="auto"/>
              <w:ind w:left="0"/>
              <w:jc w:val="left"/>
            </w:pPr>
            <w:r>
              <w:rPr>
                <w:rFonts w:ascii="Arial" w:hAnsi="Arial" w:eastAsia="等线" w:cs="Arial"/>
                <w:b/>
                <w:sz w:val="22"/>
              </w:rPr>
              <w:t>市场风险</w:t>
            </w:r>
          </w:p>
        </w:tc>
        <w:tc>
          <w:tcPr>
            <w:tcW w:w="3030" w:type="dxa"/>
            <w:tcMar>
              <w:top w:w="60" w:type="dxa"/>
              <w:left w:w="120" w:type="dxa"/>
              <w:bottom w:w="30" w:type="dxa"/>
              <w:right w:w="120" w:type="dxa"/>
            </w:tcMar>
          </w:tcPr>
          <w:p w14:paraId="661B637D">
            <w:pPr>
              <w:spacing w:before="120" w:after="120" w:line="288" w:lineRule="auto"/>
              <w:ind w:left="0"/>
              <w:jc w:val="left"/>
            </w:pPr>
            <w:r>
              <w:rPr>
                <w:rFonts w:ascii="Arial" w:hAnsi="Arial" w:eastAsia="等线" w:cs="Arial"/>
                <w:sz w:val="22"/>
              </w:rPr>
              <w:t>绿色燃料产业化进程慢于预期；客户付费意愿不足；市场竞争加剧</w:t>
            </w:r>
          </w:p>
        </w:tc>
        <w:tc>
          <w:tcPr>
            <w:tcW w:w="3840" w:type="dxa"/>
            <w:tcMar>
              <w:top w:w="60" w:type="dxa"/>
              <w:left w:w="120" w:type="dxa"/>
              <w:bottom w:w="30" w:type="dxa"/>
              <w:right w:w="120" w:type="dxa"/>
            </w:tcMar>
          </w:tcPr>
          <w:p w14:paraId="5A5D954C">
            <w:pPr>
              <w:spacing w:before="120" w:after="120" w:line="288" w:lineRule="auto"/>
              <w:ind w:left="0"/>
              <w:jc w:val="left"/>
            </w:pPr>
            <w:r>
              <w:rPr>
                <w:rFonts w:ascii="Arial" w:hAnsi="Arial" w:eastAsia="等线" w:cs="Arial"/>
                <w:sz w:val="22"/>
              </w:rPr>
              <w:t>从政策驱动型服务向市场驱动型服务转型；建立差异化竞争壁垒（标准制定、专家资源、品牌公信力）；控制团队规模，保持轻资产灵活性</w:t>
            </w:r>
          </w:p>
        </w:tc>
      </w:tr>
      <w:tr w14:paraId="0568310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410" w:type="dxa"/>
            <w:tcMar>
              <w:top w:w="60" w:type="dxa"/>
              <w:left w:w="120" w:type="dxa"/>
              <w:bottom w:w="30" w:type="dxa"/>
              <w:right w:w="120" w:type="dxa"/>
            </w:tcMar>
          </w:tcPr>
          <w:p w14:paraId="544A888E">
            <w:pPr>
              <w:spacing w:before="120" w:after="120" w:line="288" w:lineRule="auto"/>
              <w:ind w:left="0"/>
              <w:jc w:val="left"/>
            </w:pPr>
            <w:r>
              <w:rPr>
                <w:rFonts w:ascii="Arial" w:hAnsi="Arial" w:eastAsia="等线" w:cs="Arial"/>
                <w:b/>
                <w:sz w:val="22"/>
              </w:rPr>
              <w:t>人才风险</w:t>
            </w:r>
          </w:p>
        </w:tc>
        <w:tc>
          <w:tcPr>
            <w:tcW w:w="3030" w:type="dxa"/>
            <w:tcMar>
              <w:top w:w="60" w:type="dxa"/>
              <w:left w:w="120" w:type="dxa"/>
              <w:bottom w:w="30" w:type="dxa"/>
              <w:right w:w="120" w:type="dxa"/>
            </w:tcMar>
          </w:tcPr>
          <w:p w14:paraId="0CBE20CC">
            <w:pPr>
              <w:spacing w:before="120" w:after="120" w:line="288" w:lineRule="auto"/>
              <w:ind w:left="0"/>
              <w:jc w:val="left"/>
            </w:pPr>
            <w:r>
              <w:rPr>
                <w:rFonts w:ascii="Arial" w:hAnsi="Arial" w:eastAsia="等线" w:cs="Arial"/>
                <w:sz w:val="22"/>
              </w:rPr>
              <w:t>绿色燃料领域复合型人才短缺；核心人员流失</w:t>
            </w:r>
          </w:p>
        </w:tc>
        <w:tc>
          <w:tcPr>
            <w:tcW w:w="3840" w:type="dxa"/>
            <w:tcMar>
              <w:top w:w="60" w:type="dxa"/>
              <w:left w:w="120" w:type="dxa"/>
              <w:bottom w:w="30" w:type="dxa"/>
              <w:right w:w="120" w:type="dxa"/>
            </w:tcMar>
          </w:tcPr>
          <w:p w14:paraId="19AE1F8E">
            <w:pPr>
              <w:spacing w:before="120" w:after="120" w:line="288" w:lineRule="auto"/>
              <w:ind w:left="0"/>
              <w:jc w:val="left"/>
            </w:pPr>
            <w:r>
              <w:rPr>
                <w:rFonts w:ascii="Arial" w:hAnsi="Arial" w:eastAsia="等线" w:cs="Arial"/>
                <w:sz w:val="22"/>
              </w:rPr>
              <w:t>与研究会专家智库建立柔性合作机制；建立内部培训体系；设计有竞争力的激励机制；核心业务标准化，降低对个人依赖</w:t>
            </w:r>
          </w:p>
        </w:tc>
      </w:tr>
      <w:tr w14:paraId="641D898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410" w:type="dxa"/>
            <w:tcMar>
              <w:top w:w="60" w:type="dxa"/>
              <w:left w:w="120" w:type="dxa"/>
              <w:bottom w:w="30" w:type="dxa"/>
              <w:right w:w="120" w:type="dxa"/>
            </w:tcMar>
          </w:tcPr>
          <w:p w14:paraId="6B779B4B">
            <w:pPr>
              <w:spacing w:before="120" w:after="120" w:line="288" w:lineRule="auto"/>
              <w:ind w:left="0"/>
              <w:jc w:val="left"/>
            </w:pPr>
            <w:r>
              <w:rPr>
                <w:rFonts w:ascii="Arial" w:hAnsi="Arial" w:eastAsia="等线" w:cs="Arial"/>
                <w:b/>
                <w:sz w:val="22"/>
              </w:rPr>
              <w:t>技术风险</w:t>
            </w:r>
          </w:p>
        </w:tc>
        <w:tc>
          <w:tcPr>
            <w:tcW w:w="3030" w:type="dxa"/>
            <w:tcMar>
              <w:top w:w="60" w:type="dxa"/>
              <w:left w:w="120" w:type="dxa"/>
              <w:bottom w:w="30" w:type="dxa"/>
              <w:right w:w="120" w:type="dxa"/>
            </w:tcMar>
          </w:tcPr>
          <w:p w14:paraId="3F79914D">
            <w:pPr>
              <w:spacing w:before="120" w:after="120" w:line="288" w:lineRule="auto"/>
              <w:ind w:left="0"/>
              <w:jc w:val="left"/>
            </w:pPr>
            <w:r>
              <w:rPr>
                <w:rFonts w:ascii="Arial" w:hAnsi="Arial" w:eastAsia="等线" w:cs="Arial"/>
                <w:sz w:val="22"/>
              </w:rPr>
              <w:t>技术路线快速迭代导致咨询结论过时；智能化平台技术选型失误</w:t>
            </w:r>
          </w:p>
        </w:tc>
        <w:tc>
          <w:tcPr>
            <w:tcW w:w="3840" w:type="dxa"/>
            <w:tcMar>
              <w:top w:w="60" w:type="dxa"/>
              <w:left w:w="120" w:type="dxa"/>
              <w:bottom w:w="30" w:type="dxa"/>
              <w:right w:w="120" w:type="dxa"/>
            </w:tcMar>
          </w:tcPr>
          <w:p w14:paraId="3C863E0F">
            <w:pPr>
              <w:spacing w:before="120" w:after="120" w:line="288" w:lineRule="auto"/>
              <w:ind w:left="0"/>
              <w:jc w:val="left"/>
            </w:pPr>
            <w:r>
              <w:rPr>
                <w:rFonts w:ascii="Arial" w:hAnsi="Arial" w:eastAsia="等线" w:cs="Arial"/>
                <w:sz w:val="22"/>
              </w:rPr>
              <w:t>建立技术跟踪机制，定期更新研究成果；智能化平台采用模块化、可扩展架构；与高校/科研院所建立技术合作</w:t>
            </w:r>
          </w:p>
        </w:tc>
      </w:tr>
      <w:tr w14:paraId="6B6DAF8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410" w:type="dxa"/>
            <w:tcMar>
              <w:top w:w="60" w:type="dxa"/>
              <w:left w:w="120" w:type="dxa"/>
              <w:bottom w:w="30" w:type="dxa"/>
              <w:right w:w="120" w:type="dxa"/>
            </w:tcMar>
          </w:tcPr>
          <w:p w14:paraId="28AE3088">
            <w:pPr>
              <w:spacing w:before="120" w:after="120" w:line="288" w:lineRule="auto"/>
              <w:ind w:left="0"/>
              <w:jc w:val="left"/>
            </w:pPr>
            <w:r>
              <w:rPr>
                <w:rFonts w:ascii="Arial" w:hAnsi="Arial" w:eastAsia="等线" w:cs="Arial"/>
                <w:b/>
                <w:sz w:val="22"/>
              </w:rPr>
              <w:t>合规风险</w:t>
            </w:r>
          </w:p>
        </w:tc>
        <w:tc>
          <w:tcPr>
            <w:tcW w:w="3030" w:type="dxa"/>
            <w:tcMar>
              <w:top w:w="60" w:type="dxa"/>
              <w:left w:w="120" w:type="dxa"/>
              <w:bottom w:w="30" w:type="dxa"/>
              <w:right w:w="120" w:type="dxa"/>
            </w:tcMar>
          </w:tcPr>
          <w:p w14:paraId="078EE08F">
            <w:pPr>
              <w:spacing w:before="120" w:after="120" w:line="288" w:lineRule="auto"/>
              <w:ind w:left="0"/>
              <w:jc w:val="left"/>
            </w:pPr>
            <w:r>
              <w:rPr>
                <w:rFonts w:ascii="Arial" w:hAnsi="Arial" w:eastAsia="等线" w:cs="Arial"/>
                <w:sz w:val="22"/>
              </w:rPr>
              <w:t>碳核算/认证服务合规性要求高；数据安全与隐私保护</w:t>
            </w:r>
          </w:p>
        </w:tc>
        <w:tc>
          <w:tcPr>
            <w:tcW w:w="3840" w:type="dxa"/>
            <w:tcMar>
              <w:top w:w="60" w:type="dxa"/>
              <w:left w:w="120" w:type="dxa"/>
              <w:bottom w:w="30" w:type="dxa"/>
              <w:right w:w="120" w:type="dxa"/>
            </w:tcMar>
          </w:tcPr>
          <w:p w14:paraId="6347CEB9">
            <w:pPr>
              <w:spacing w:before="120" w:after="120" w:line="288" w:lineRule="auto"/>
              <w:ind w:left="0"/>
              <w:jc w:val="left"/>
            </w:pPr>
            <w:r>
              <w:rPr>
                <w:rFonts w:ascii="Arial" w:hAnsi="Arial" w:eastAsia="等线" w:cs="Arial"/>
                <w:sz w:val="22"/>
              </w:rPr>
              <w:t>严格遵循国家标准和国际标准；建立质量管控体系；数据服务合规审查；购买专业责任险</w:t>
            </w:r>
          </w:p>
        </w:tc>
      </w:tr>
    </w:tbl>
    <w:p w14:paraId="372A6C54">
      <w:pPr>
        <w:spacing w:before="380" w:after="140" w:line="288" w:lineRule="auto"/>
        <w:ind w:left="0"/>
        <w:jc w:val="left"/>
        <w:outlineLvl w:val="0"/>
      </w:pPr>
      <w:bookmarkStart w:id="27" w:name="heading_27"/>
      <w:r>
        <w:rPr>
          <w:rFonts w:ascii="Arial" w:hAnsi="Arial" w:eastAsia="等线" w:cs="Arial"/>
          <w:color w:val="3370FF"/>
          <w:sz w:val="36"/>
        </w:rPr>
        <w:t xml:space="preserve">8. </w:t>
      </w:r>
      <w:r>
        <w:rPr>
          <w:rFonts w:ascii="Arial" w:hAnsi="Arial" w:eastAsia="等线" w:cs="Arial"/>
          <w:b/>
          <w:sz w:val="36"/>
        </w:rPr>
        <w:t>结论与决策建议</w:t>
      </w:r>
      <w:bookmarkEnd w:id="27"/>
    </w:p>
    <w:p w14:paraId="396550A2">
      <w:pPr>
        <w:spacing w:before="120" w:after="120" w:line="288" w:lineRule="auto"/>
        <w:ind w:left="0"/>
        <w:jc w:val="left"/>
      </w:pPr>
      <w:r>
        <w:rPr>
          <w:rFonts w:ascii="Arial" w:hAnsi="Arial" w:eastAsia="等线" w:cs="Arial"/>
          <w:sz w:val="22"/>
        </w:rPr>
        <w:t>绿色燃料产业正处于政策窗口期和市场培育期的交汇点，</w:t>
      </w:r>
      <w:r>
        <w:rPr>
          <w:rFonts w:ascii="Arial" w:hAnsi="Arial" w:eastAsia="等线" w:cs="Arial"/>
          <w:b/>
          <w:sz w:val="22"/>
        </w:rPr>
        <w:t>轻资产咨询服务是当前阶段风险收益比最高的切入方式</w:t>
      </w:r>
      <w:r>
        <w:rPr>
          <w:rFonts w:ascii="Arial" w:hAnsi="Arial" w:eastAsia="等线" w:cs="Arial"/>
          <w:sz w:val="22"/>
        </w:rPr>
        <w:t>。韬能科技依托中国能源研究会品牌分会的政策研究、专家智库、标准制定、产业链资源和品牌传播五大核心优势，结合自身在新能源领域的技术能力积累，具备在绿色燃料轻资产服务领域快速建立竞争优势的条件。</w:t>
      </w:r>
    </w:p>
    <w:p w14:paraId="61BB4930">
      <w:pPr>
        <w:spacing w:before="120" w:after="120" w:line="288" w:lineRule="auto"/>
        <w:ind w:left="0"/>
        <w:jc w:val="left"/>
      </w:pPr>
      <w:r>
        <w:rPr>
          <w:rFonts w:ascii="Arial" w:hAnsi="Arial" w:eastAsia="等线" w:cs="Arial"/>
          <w:b/>
          <w:sz w:val="22"/>
        </w:rPr>
        <w:t>建议立即批准启动以下事项：</w:t>
      </w:r>
    </w:p>
    <w:p w14:paraId="60C70A5A">
      <w:pPr>
        <w:numPr>
          <w:ilvl w:val="0"/>
          <w:numId w:val="54"/>
        </w:numPr>
        <w:spacing w:before="120" w:after="120" w:line="288" w:lineRule="auto"/>
        <w:ind w:left="0"/>
        <w:jc w:val="left"/>
      </w:pPr>
      <w:r>
        <w:rPr>
          <w:rFonts w:ascii="Arial" w:hAnsi="Arial" w:eastAsia="等线" w:cs="Arial"/>
          <w:sz w:val="22"/>
        </w:rPr>
        <w:t>组建绿色燃料业务专项团队（3—5人），明确负责人和考核目标</w:t>
      </w:r>
    </w:p>
    <w:p w14:paraId="1BBA1EFF">
      <w:pPr>
        <w:numPr>
          <w:ilvl w:val="0"/>
          <w:numId w:val="55"/>
        </w:numPr>
        <w:spacing w:before="120" w:after="120" w:line="288" w:lineRule="auto"/>
        <w:ind w:left="0"/>
        <w:jc w:val="left"/>
      </w:pPr>
      <w:r>
        <w:rPr>
          <w:rFonts w:ascii="Arial" w:hAnsi="Arial" w:eastAsia="等线" w:cs="Arial"/>
          <w:sz w:val="22"/>
        </w:rPr>
        <w:t>2026年Q3发布首份《中国绿色燃料产业发展研究报告》，建立行业影响力</w:t>
      </w:r>
    </w:p>
    <w:p w14:paraId="61CBECC1">
      <w:pPr>
        <w:numPr>
          <w:ilvl w:val="0"/>
          <w:numId w:val="56"/>
        </w:numPr>
        <w:spacing w:before="120" w:after="120" w:line="288" w:lineRule="auto"/>
        <w:ind w:left="0"/>
        <w:jc w:val="left"/>
      </w:pPr>
      <w:r>
        <w:rPr>
          <w:rFonts w:ascii="Arial" w:hAnsi="Arial" w:eastAsia="等线" w:cs="Arial"/>
          <w:sz w:val="22"/>
        </w:rPr>
        <w:t>优先启动三项核心业务：项目前期规划咨询、标准与认证咨询、政策研究与战略规划</w:t>
      </w:r>
    </w:p>
    <w:p w14:paraId="46CA8ED1">
      <w:pPr>
        <w:numPr>
          <w:ilvl w:val="0"/>
          <w:numId w:val="57"/>
        </w:numPr>
        <w:spacing w:before="120" w:after="120" w:line="288" w:lineRule="auto"/>
        <w:ind w:left="0"/>
        <w:jc w:val="left"/>
      </w:pPr>
      <w:r>
        <w:rPr>
          <w:rFonts w:ascii="Arial" w:hAnsi="Arial" w:eastAsia="等线" w:cs="Arial"/>
          <w:sz w:val="22"/>
        </w:rPr>
        <w:t>与2—3家能源央国企建立战略合作关系，打造标杆案例</w:t>
      </w:r>
    </w:p>
    <w:p w14:paraId="6A9812AD">
      <w:pPr>
        <w:numPr>
          <w:ilvl w:val="0"/>
          <w:numId w:val="58"/>
        </w:numPr>
        <w:spacing w:before="120" w:after="120" w:line="288" w:lineRule="auto"/>
        <w:ind w:left="0"/>
        <w:jc w:val="left"/>
      </w:pPr>
      <w:r>
        <w:rPr>
          <w:rFonts w:ascii="Arial" w:hAnsi="Arial" w:eastAsia="等线" w:cs="Arial"/>
          <w:sz w:val="22"/>
        </w:rPr>
        <w:t>2026年内举办1场绿色燃料行业研讨会，搭建行业交流平台</w:t>
      </w:r>
    </w:p>
    <w:p w14:paraId="2FBBCBB6">
      <w:pPr>
        <w:spacing w:before="120" w:after="120" w:line="288" w:lineRule="auto"/>
        <w:ind w:left="0"/>
        <w:jc w:val="left"/>
      </w:pPr>
      <w:r>
        <w:rPr>
          <w:rFonts w:ascii="Arial" w:hAnsi="Arial" w:eastAsia="等线" w:cs="Arial"/>
          <w:sz w:val="22"/>
        </w:rPr>
        <w:t>以上方案请管理层审议。如需调整业务方向、优先级或资源配置，请指示。</w:t>
      </w:r>
    </w:p>
    <w:p w14:paraId="33C90846">
      <w:pPr>
        <w:pBdr>
          <w:bottom w:val="single" w:color="DEE0E3" w:sz="2" w:space="0"/>
          <w:between w:val="single" w:color="DEE0E3" w:sz="2" w:space="0"/>
        </w:pBdr>
        <w:spacing w:before="120" w:after="120" w:line="288" w:lineRule="auto"/>
        <w:ind w:left="0"/>
      </w:pPr>
    </w:p>
    <w:p w14:paraId="7F1CD948">
      <w:pPr>
        <w:spacing w:before="120" w:after="120" w:line="288" w:lineRule="auto"/>
        <w:ind w:left="0"/>
        <w:jc w:val="left"/>
      </w:pPr>
      <w:r>
        <w:rPr>
          <w:rFonts w:ascii="Arial" w:hAnsi="Arial" w:eastAsia="等线" w:cs="Arial"/>
          <w:b/>
          <w:sz w:val="22"/>
        </w:rPr>
        <w:t>政策依据：</w:t>
      </w:r>
    </w:p>
    <w:p w14:paraId="47ACDF03">
      <w:pPr>
        <w:numPr>
          <w:ilvl w:val="0"/>
          <w:numId w:val="59"/>
        </w:numPr>
        <w:spacing w:before="120" w:after="120" w:line="288" w:lineRule="auto"/>
        <w:ind w:left="0"/>
        <w:jc w:val="left"/>
      </w:pPr>
      <w:r>
        <w:rPr>
          <w:rFonts w:ascii="Arial" w:hAnsi="Arial" w:eastAsia="等线" w:cs="Arial"/>
          <w:sz w:val="22"/>
        </w:rPr>
        <w:t>《中国绿色燃料发展报告（2026）》，国家能源局能源节约和科技装备司等编著，2026年</w:t>
      </w:r>
    </w:p>
    <w:p w14:paraId="6BFFC962">
      <w:pPr>
        <w:numPr>
          <w:ilvl w:val="0"/>
          <w:numId w:val="60"/>
        </w:numPr>
        <w:spacing w:before="120" w:after="120" w:line="288" w:lineRule="auto"/>
        <w:ind w:left="0"/>
        <w:jc w:val="left"/>
      </w:pPr>
      <w:r>
        <w:rPr>
          <w:rFonts w:ascii="Arial" w:hAnsi="Arial" w:eastAsia="等线" w:cs="Arial"/>
          <w:sz w:val="22"/>
        </w:rPr>
        <w:t>《石油天然气发展"十五五"规划》，国家能源局，2026年</w:t>
      </w:r>
    </w:p>
    <w:p w14:paraId="0F743F9E">
      <w:pPr>
        <w:numPr>
          <w:ilvl w:val="0"/>
          <w:numId w:val="61"/>
        </w:numPr>
        <w:spacing w:before="120" w:after="120" w:line="288" w:lineRule="auto"/>
        <w:ind w:left="0"/>
        <w:jc w:val="left"/>
      </w:pPr>
      <w:r>
        <w:rPr>
          <w:rFonts w:ascii="Arial" w:hAnsi="Arial" w:eastAsia="等线" w:cs="Arial"/>
          <w:sz w:val="22"/>
        </w:rPr>
        <w:t>《"十五五"碳达峰行动方案》（国发〔2026〕22号），国务院，2026年7月</w:t>
      </w:r>
    </w:p>
    <w:p w14:paraId="0B5C6CE8">
      <w:pPr>
        <w:spacing w:before="120" w:after="120" w:line="288" w:lineRule="auto"/>
        <w:ind w:left="0"/>
        <w:jc w:val="left"/>
      </w:pPr>
      <w:r>
        <w:rPr>
          <w:rFonts w:ascii="Arial" w:hAnsi="Arial" w:eastAsia="等线" w:cs="Arial"/>
          <w:sz w:val="22"/>
        </w:rPr>
        <w:t>|(Note: May contain AI-generated content.)</w:t>
      </w: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A808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F3A3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A4B87"/>
    <w:multiLevelType w:val="singleLevel"/>
    <w:tmpl w:val="813A4B87"/>
    <w:lvl w:ilvl="0" w:tentative="0">
      <w:start w:val="0"/>
      <w:numFmt w:val="bullet"/>
      <w:lvlText w:val="•"/>
      <w:lvlJc w:val="left"/>
      <w:rPr>
        <w:color w:val="3370FF"/>
      </w:rPr>
    </w:lvl>
  </w:abstractNum>
  <w:abstractNum w:abstractNumId="1">
    <w:nsid w:val="845B5372"/>
    <w:multiLevelType w:val="singleLevel"/>
    <w:tmpl w:val="845B5372"/>
    <w:lvl w:ilvl="0" w:tentative="0">
      <w:start w:val="0"/>
      <w:numFmt w:val="bullet"/>
      <w:lvlText w:val="•"/>
      <w:lvlJc w:val="left"/>
      <w:rPr>
        <w:color w:val="3370FF"/>
      </w:rPr>
    </w:lvl>
  </w:abstractNum>
  <w:abstractNum w:abstractNumId="2">
    <w:nsid w:val="8461FADE"/>
    <w:multiLevelType w:val="singleLevel"/>
    <w:tmpl w:val="8461FADE"/>
    <w:lvl w:ilvl="0" w:tentative="0">
      <w:start w:val="0"/>
      <w:numFmt w:val="bullet"/>
      <w:lvlText w:val="•"/>
      <w:lvlJc w:val="left"/>
      <w:rPr>
        <w:color w:val="3370FF"/>
      </w:rPr>
    </w:lvl>
  </w:abstractNum>
  <w:abstractNum w:abstractNumId="3">
    <w:nsid w:val="8CAEB125"/>
    <w:multiLevelType w:val="singleLevel"/>
    <w:tmpl w:val="8CAEB125"/>
    <w:lvl w:ilvl="0" w:tentative="0">
      <w:start w:val="0"/>
      <w:numFmt w:val="bullet"/>
      <w:lvlText w:val="•"/>
      <w:lvlJc w:val="left"/>
      <w:rPr>
        <w:color w:val="3370FF"/>
      </w:rPr>
    </w:lvl>
  </w:abstractNum>
  <w:abstractNum w:abstractNumId="4">
    <w:nsid w:val="91995D4F"/>
    <w:multiLevelType w:val="singleLevel"/>
    <w:tmpl w:val="91995D4F"/>
    <w:lvl w:ilvl="0" w:tentative="0">
      <w:start w:val="0"/>
      <w:numFmt w:val="bullet"/>
      <w:lvlText w:val="•"/>
      <w:lvlJc w:val="left"/>
      <w:rPr>
        <w:color w:val="3370FF"/>
      </w:rPr>
    </w:lvl>
  </w:abstractNum>
  <w:abstractNum w:abstractNumId="5">
    <w:nsid w:val="9239341B"/>
    <w:multiLevelType w:val="singleLevel"/>
    <w:tmpl w:val="9239341B"/>
    <w:lvl w:ilvl="0" w:tentative="0">
      <w:start w:val="0"/>
      <w:numFmt w:val="bullet"/>
      <w:lvlText w:val="•"/>
      <w:lvlJc w:val="left"/>
      <w:rPr>
        <w:color w:val="3370FF"/>
      </w:rPr>
    </w:lvl>
  </w:abstractNum>
  <w:abstractNum w:abstractNumId="6">
    <w:nsid w:val="9288B902"/>
    <w:multiLevelType w:val="singleLevel"/>
    <w:tmpl w:val="9288B902"/>
    <w:lvl w:ilvl="0" w:tentative="0">
      <w:start w:val="0"/>
      <w:numFmt w:val="bullet"/>
      <w:lvlText w:val="•"/>
      <w:lvlJc w:val="left"/>
      <w:rPr>
        <w:color w:val="3370FF"/>
      </w:rPr>
    </w:lvl>
  </w:abstractNum>
  <w:abstractNum w:abstractNumId="7">
    <w:nsid w:val="9C8AC8EF"/>
    <w:multiLevelType w:val="singleLevel"/>
    <w:tmpl w:val="9C8AC8EF"/>
    <w:lvl w:ilvl="0" w:tentative="0">
      <w:start w:val="0"/>
      <w:numFmt w:val="bullet"/>
      <w:lvlText w:val="•"/>
      <w:lvlJc w:val="left"/>
      <w:rPr>
        <w:color w:val="3370FF"/>
      </w:rPr>
    </w:lvl>
  </w:abstractNum>
  <w:abstractNum w:abstractNumId="8">
    <w:nsid w:val="B0F1ACD9"/>
    <w:multiLevelType w:val="singleLevel"/>
    <w:tmpl w:val="B0F1ACD9"/>
    <w:lvl w:ilvl="0" w:tentative="0">
      <w:start w:val="0"/>
      <w:numFmt w:val="bullet"/>
      <w:lvlText w:val="•"/>
      <w:lvlJc w:val="left"/>
      <w:rPr>
        <w:color w:val="3370FF"/>
      </w:rPr>
    </w:lvl>
  </w:abstractNum>
  <w:abstractNum w:abstractNumId="9">
    <w:nsid w:val="B53F3350"/>
    <w:multiLevelType w:val="singleLevel"/>
    <w:tmpl w:val="B53F3350"/>
    <w:lvl w:ilvl="0" w:tentative="0">
      <w:start w:val="0"/>
      <w:numFmt w:val="bullet"/>
      <w:lvlText w:val="•"/>
      <w:lvlJc w:val="left"/>
      <w:rPr>
        <w:color w:val="3370FF"/>
      </w:rPr>
    </w:lvl>
  </w:abstractNum>
  <w:abstractNum w:abstractNumId="10">
    <w:nsid w:val="B5E306ED"/>
    <w:multiLevelType w:val="singleLevel"/>
    <w:tmpl w:val="B5E306ED"/>
    <w:lvl w:ilvl="0" w:tentative="0">
      <w:start w:val="5"/>
      <w:numFmt w:val="decimal"/>
      <w:lvlText w:val="%1."/>
      <w:lvlJc w:val="left"/>
      <w:rPr>
        <w:color w:val="3370FF"/>
      </w:rPr>
    </w:lvl>
  </w:abstractNum>
  <w:abstractNum w:abstractNumId="11">
    <w:nsid w:val="B8CEF35B"/>
    <w:multiLevelType w:val="singleLevel"/>
    <w:tmpl w:val="B8CEF35B"/>
    <w:lvl w:ilvl="0" w:tentative="0">
      <w:start w:val="0"/>
      <w:numFmt w:val="bullet"/>
      <w:lvlText w:val="•"/>
      <w:lvlJc w:val="left"/>
      <w:rPr>
        <w:color w:val="3370FF"/>
      </w:rPr>
    </w:lvl>
  </w:abstractNum>
  <w:abstractNum w:abstractNumId="12">
    <w:nsid w:val="BB64CFA9"/>
    <w:multiLevelType w:val="singleLevel"/>
    <w:tmpl w:val="BB64CFA9"/>
    <w:lvl w:ilvl="0" w:tentative="0">
      <w:start w:val="0"/>
      <w:numFmt w:val="bullet"/>
      <w:lvlText w:val="•"/>
      <w:lvlJc w:val="left"/>
      <w:rPr>
        <w:color w:val="3370FF"/>
      </w:rPr>
    </w:lvl>
  </w:abstractNum>
  <w:abstractNum w:abstractNumId="13">
    <w:nsid w:val="BE923771"/>
    <w:multiLevelType w:val="singleLevel"/>
    <w:tmpl w:val="BE923771"/>
    <w:lvl w:ilvl="0" w:tentative="0">
      <w:start w:val="0"/>
      <w:numFmt w:val="bullet"/>
      <w:lvlText w:val="•"/>
      <w:lvlJc w:val="left"/>
      <w:rPr>
        <w:color w:val="3370FF"/>
      </w:rPr>
    </w:lvl>
  </w:abstractNum>
  <w:abstractNum w:abstractNumId="14">
    <w:nsid w:val="BF205925"/>
    <w:multiLevelType w:val="singleLevel"/>
    <w:tmpl w:val="BF205925"/>
    <w:lvl w:ilvl="0" w:tentative="0">
      <w:start w:val="4"/>
      <w:numFmt w:val="decimal"/>
      <w:lvlText w:val="%1."/>
      <w:lvlJc w:val="left"/>
      <w:rPr>
        <w:color w:val="3370FF"/>
      </w:rPr>
    </w:lvl>
  </w:abstractNum>
  <w:abstractNum w:abstractNumId="15">
    <w:nsid w:val="C8879AEF"/>
    <w:multiLevelType w:val="singleLevel"/>
    <w:tmpl w:val="C8879AEF"/>
    <w:lvl w:ilvl="0" w:tentative="0">
      <w:start w:val="0"/>
      <w:numFmt w:val="bullet"/>
      <w:lvlText w:val="•"/>
      <w:lvlJc w:val="left"/>
      <w:rPr>
        <w:color w:val="3370FF"/>
      </w:rPr>
    </w:lvl>
  </w:abstractNum>
  <w:abstractNum w:abstractNumId="16">
    <w:nsid w:val="CF092B84"/>
    <w:multiLevelType w:val="singleLevel"/>
    <w:tmpl w:val="CF092B84"/>
    <w:lvl w:ilvl="0" w:tentative="0">
      <w:start w:val="2"/>
      <w:numFmt w:val="decimal"/>
      <w:lvlText w:val="%1."/>
      <w:lvlJc w:val="left"/>
      <w:rPr>
        <w:color w:val="3370FF"/>
      </w:rPr>
    </w:lvl>
  </w:abstractNum>
  <w:abstractNum w:abstractNumId="17">
    <w:nsid w:val="D7D140E4"/>
    <w:multiLevelType w:val="singleLevel"/>
    <w:tmpl w:val="D7D140E4"/>
    <w:lvl w:ilvl="0" w:tentative="0">
      <w:start w:val="2"/>
      <w:numFmt w:val="decimal"/>
      <w:lvlText w:val="%1."/>
      <w:lvlJc w:val="left"/>
      <w:rPr>
        <w:color w:val="3370FF"/>
      </w:rPr>
    </w:lvl>
  </w:abstractNum>
  <w:abstractNum w:abstractNumId="18">
    <w:nsid w:val="D7F9FE59"/>
    <w:multiLevelType w:val="singleLevel"/>
    <w:tmpl w:val="D7F9FE59"/>
    <w:lvl w:ilvl="0" w:tentative="0">
      <w:start w:val="0"/>
      <w:numFmt w:val="bullet"/>
      <w:lvlText w:val="•"/>
      <w:lvlJc w:val="left"/>
      <w:rPr>
        <w:color w:val="3370FF"/>
      </w:rPr>
    </w:lvl>
  </w:abstractNum>
  <w:abstractNum w:abstractNumId="19">
    <w:nsid w:val="DCBA6B53"/>
    <w:multiLevelType w:val="singleLevel"/>
    <w:tmpl w:val="DCBA6B53"/>
    <w:lvl w:ilvl="0" w:tentative="0">
      <w:start w:val="0"/>
      <w:numFmt w:val="bullet"/>
      <w:lvlText w:val="•"/>
      <w:lvlJc w:val="left"/>
      <w:rPr>
        <w:color w:val="3370FF"/>
      </w:rPr>
    </w:lvl>
  </w:abstractNum>
  <w:abstractNum w:abstractNumId="20">
    <w:nsid w:val="E093A4B0"/>
    <w:multiLevelType w:val="singleLevel"/>
    <w:tmpl w:val="E093A4B0"/>
    <w:lvl w:ilvl="0" w:tentative="0">
      <w:start w:val="0"/>
      <w:numFmt w:val="bullet"/>
      <w:lvlText w:val="•"/>
      <w:lvlJc w:val="left"/>
      <w:rPr>
        <w:color w:val="3370FF"/>
      </w:rPr>
    </w:lvl>
  </w:abstractNum>
  <w:abstractNum w:abstractNumId="21">
    <w:nsid w:val="F0E89278"/>
    <w:multiLevelType w:val="singleLevel"/>
    <w:tmpl w:val="F0E89278"/>
    <w:lvl w:ilvl="0" w:tentative="0">
      <w:start w:val="5"/>
      <w:numFmt w:val="decimal"/>
      <w:lvlText w:val="%1."/>
      <w:lvlJc w:val="left"/>
      <w:rPr>
        <w:color w:val="3370FF"/>
      </w:rPr>
    </w:lvl>
  </w:abstractNum>
  <w:abstractNum w:abstractNumId="22">
    <w:nsid w:val="F4B5D9F5"/>
    <w:multiLevelType w:val="singleLevel"/>
    <w:tmpl w:val="F4B5D9F5"/>
    <w:lvl w:ilvl="0" w:tentative="0">
      <w:start w:val="0"/>
      <w:numFmt w:val="bullet"/>
      <w:lvlText w:val="•"/>
      <w:lvlJc w:val="left"/>
      <w:rPr>
        <w:color w:val="3370FF"/>
      </w:rPr>
    </w:lvl>
  </w:abstractNum>
  <w:abstractNum w:abstractNumId="23">
    <w:nsid w:val="F7735DC9"/>
    <w:multiLevelType w:val="singleLevel"/>
    <w:tmpl w:val="F7735DC9"/>
    <w:lvl w:ilvl="0" w:tentative="0">
      <w:start w:val="0"/>
      <w:numFmt w:val="bullet"/>
      <w:lvlText w:val="•"/>
      <w:lvlJc w:val="left"/>
      <w:rPr>
        <w:color w:val="3370FF"/>
      </w:rPr>
    </w:lvl>
  </w:abstractNum>
  <w:abstractNum w:abstractNumId="24">
    <w:nsid w:val="0053208E"/>
    <w:multiLevelType w:val="singleLevel"/>
    <w:tmpl w:val="0053208E"/>
    <w:lvl w:ilvl="0" w:tentative="0">
      <w:start w:val="1"/>
      <w:numFmt w:val="decimal"/>
      <w:lvlText w:val="%1."/>
      <w:lvlJc w:val="left"/>
      <w:rPr>
        <w:color w:val="3370FF"/>
      </w:rPr>
    </w:lvl>
  </w:abstractNum>
  <w:abstractNum w:abstractNumId="25">
    <w:nsid w:val="0248C179"/>
    <w:multiLevelType w:val="singleLevel"/>
    <w:tmpl w:val="0248C179"/>
    <w:lvl w:ilvl="0" w:tentative="0">
      <w:start w:val="0"/>
      <w:numFmt w:val="bullet"/>
      <w:lvlText w:val="•"/>
      <w:lvlJc w:val="left"/>
      <w:rPr>
        <w:color w:val="3370FF"/>
      </w:rPr>
    </w:lvl>
  </w:abstractNum>
  <w:abstractNum w:abstractNumId="26">
    <w:nsid w:val="03D62ECE"/>
    <w:multiLevelType w:val="singleLevel"/>
    <w:tmpl w:val="03D62ECE"/>
    <w:lvl w:ilvl="0" w:tentative="0">
      <w:start w:val="0"/>
      <w:numFmt w:val="bullet"/>
      <w:lvlText w:val="•"/>
      <w:lvlJc w:val="left"/>
      <w:rPr>
        <w:color w:val="3370FF"/>
      </w:rPr>
    </w:lvl>
  </w:abstractNum>
  <w:abstractNum w:abstractNumId="27">
    <w:nsid w:val="0709FD3E"/>
    <w:multiLevelType w:val="singleLevel"/>
    <w:tmpl w:val="0709FD3E"/>
    <w:lvl w:ilvl="0" w:tentative="0">
      <w:start w:val="0"/>
      <w:numFmt w:val="bullet"/>
      <w:lvlText w:val="•"/>
      <w:lvlJc w:val="left"/>
      <w:rPr>
        <w:color w:val="3370FF"/>
      </w:rPr>
    </w:lvl>
  </w:abstractNum>
  <w:abstractNum w:abstractNumId="28">
    <w:nsid w:val="0CEF100B"/>
    <w:multiLevelType w:val="singleLevel"/>
    <w:tmpl w:val="0CEF100B"/>
    <w:lvl w:ilvl="0" w:tentative="0">
      <w:start w:val="1"/>
      <w:numFmt w:val="decimal"/>
      <w:lvlText w:val="%1."/>
      <w:lvlJc w:val="left"/>
      <w:rPr>
        <w:color w:val="3370FF"/>
      </w:rPr>
    </w:lvl>
  </w:abstractNum>
  <w:abstractNum w:abstractNumId="29">
    <w:nsid w:val="0E640482"/>
    <w:multiLevelType w:val="singleLevel"/>
    <w:tmpl w:val="0E640482"/>
    <w:lvl w:ilvl="0" w:tentative="0">
      <w:start w:val="0"/>
      <w:numFmt w:val="bullet"/>
      <w:lvlText w:val="•"/>
      <w:lvlJc w:val="left"/>
      <w:rPr>
        <w:color w:val="3370FF"/>
      </w:rPr>
    </w:lvl>
  </w:abstractNum>
  <w:abstractNum w:abstractNumId="30">
    <w:nsid w:val="1ACDE60F"/>
    <w:multiLevelType w:val="singleLevel"/>
    <w:tmpl w:val="1ACDE60F"/>
    <w:lvl w:ilvl="0" w:tentative="0">
      <w:start w:val="0"/>
      <w:numFmt w:val="bullet"/>
      <w:lvlText w:val="•"/>
      <w:lvlJc w:val="left"/>
      <w:rPr>
        <w:color w:val="3370FF"/>
      </w:rPr>
    </w:lvl>
  </w:abstractNum>
  <w:abstractNum w:abstractNumId="31">
    <w:nsid w:val="1C257C7B"/>
    <w:multiLevelType w:val="singleLevel"/>
    <w:tmpl w:val="1C257C7B"/>
    <w:lvl w:ilvl="0" w:tentative="0">
      <w:start w:val="4"/>
      <w:numFmt w:val="decimal"/>
      <w:lvlText w:val="%1."/>
      <w:lvlJc w:val="left"/>
      <w:rPr>
        <w:color w:val="3370FF"/>
      </w:rPr>
    </w:lvl>
  </w:abstractNum>
  <w:abstractNum w:abstractNumId="32">
    <w:nsid w:val="23E97754"/>
    <w:multiLevelType w:val="singleLevel"/>
    <w:tmpl w:val="23E97754"/>
    <w:lvl w:ilvl="0" w:tentative="0">
      <w:start w:val="0"/>
      <w:numFmt w:val="bullet"/>
      <w:lvlText w:val="•"/>
      <w:lvlJc w:val="left"/>
      <w:rPr>
        <w:color w:val="3370FF"/>
      </w:rPr>
    </w:lvl>
  </w:abstractNum>
  <w:abstractNum w:abstractNumId="33">
    <w:nsid w:val="243FCF68"/>
    <w:multiLevelType w:val="singleLevel"/>
    <w:tmpl w:val="243FCF68"/>
    <w:lvl w:ilvl="0" w:tentative="0">
      <w:start w:val="0"/>
      <w:numFmt w:val="bullet"/>
      <w:lvlText w:val="•"/>
      <w:lvlJc w:val="left"/>
      <w:rPr>
        <w:color w:val="3370FF"/>
      </w:rPr>
    </w:lvl>
  </w:abstractNum>
  <w:abstractNum w:abstractNumId="34">
    <w:nsid w:val="2470EC97"/>
    <w:multiLevelType w:val="singleLevel"/>
    <w:tmpl w:val="2470EC97"/>
    <w:lvl w:ilvl="0" w:tentative="0">
      <w:start w:val="0"/>
      <w:numFmt w:val="bullet"/>
      <w:lvlText w:val="•"/>
      <w:lvlJc w:val="left"/>
      <w:rPr>
        <w:color w:val="3370FF"/>
      </w:rPr>
    </w:lvl>
  </w:abstractNum>
  <w:abstractNum w:abstractNumId="35">
    <w:nsid w:val="25B654F3"/>
    <w:multiLevelType w:val="singleLevel"/>
    <w:tmpl w:val="25B654F3"/>
    <w:lvl w:ilvl="0" w:tentative="0">
      <w:start w:val="0"/>
      <w:numFmt w:val="bullet"/>
      <w:lvlText w:val="•"/>
      <w:lvlJc w:val="left"/>
      <w:rPr>
        <w:color w:val="3370FF"/>
      </w:rPr>
    </w:lvl>
  </w:abstractNum>
  <w:abstractNum w:abstractNumId="36">
    <w:nsid w:val="2A8F537B"/>
    <w:multiLevelType w:val="singleLevel"/>
    <w:tmpl w:val="2A8F537B"/>
    <w:lvl w:ilvl="0" w:tentative="0">
      <w:start w:val="0"/>
      <w:numFmt w:val="bullet"/>
      <w:lvlText w:val="•"/>
      <w:lvlJc w:val="left"/>
      <w:rPr>
        <w:color w:val="3370FF"/>
      </w:rPr>
    </w:lvl>
  </w:abstractNum>
  <w:abstractNum w:abstractNumId="37">
    <w:nsid w:val="30FC5B15"/>
    <w:multiLevelType w:val="singleLevel"/>
    <w:tmpl w:val="30FC5B15"/>
    <w:lvl w:ilvl="0" w:tentative="0">
      <w:start w:val="0"/>
      <w:numFmt w:val="bullet"/>
      <w:lvlText w:val="•"/>
      <w:lvlJc w:val="left"/>
      <w:rPr>
        <w:color w:val="3370FF"/>
      </w:rPr>
    </w:lvl>
  </w:abstractNum>
  <w:abstractNum w:abstractNumId="38">
    <w:nsid w:val="322D85CA"/>
    <w:multiLevelType w:val="singleLevel"/>
    <w:tmpl w:val="322D85CA"/>
    <w:lvl w:ilvl="0" w:tentative="0">
      <w:start w:val="0"/>
      <w:numFmt w:val="bullet"/>
      <w:lvlText w:val="•"/>
      <w:lvlJc w:val="left"/>
      <w:rPr>
        <w:color w:val="3370FF"/>
      </w:rPr>
    </w:lvl>
  </w:abstractNum>
  <w:abstractNum w:abstractNumId="39">
    <w:nsid w:val="32A7AF2D"/>
    <w:multiLevelType w:val="singleLevel"/>
    <w:tmpl w:val="32A7AF2D"/>
    <w:lvl w:ilvl="0" w:tentative="0">
      <w:start w:val="3"/>
      <w:numFmt w:val="decimal"/>
      <w:lvlText w:val="%1."/>
      <w:lvlJc w:val="left"/>
      <w:rPr>
        <w:color w:val="3370FF"/>
      </w:rPr>
    </w:lvl>
  </w:abstractNum>
  <w:abstractNum w:abstractNumId="40">
    <w:nsid w:val="39A0D9AC"/>
    <w:multiLevelType w:val="singleLevel"/>
    <w:tmpl w:val="39A0D9AC"/>
    <w:lvl w:ilvl="0" w:tentative="0">
      <w:start w:val="0"/>
      <w:numFmt w:val="bullet"/>
      <w:lvlText w:val="•"/>
      <w:lvlJc w:val="left"/>
      <w:rPr>
        <w:color w:val="3370FF"/>
      </w:rPr>
    </w:lvl>
  </w:abstractNum>
  <w:abstractNum w:abstractNumId="41">
    <w:nsid w:val="40B249F9"/>
    <w:multiLevelType w:val="singleLevel"/>
    <w:tmpl w:val="40B249F9"/>
    <w:lvl w:ilvl="0" w:tentative="0">
      <w:start w:val="0"/>
      <w:numFmt w:val="bullet"/>
      <w:lvlText w:val="•"/>
      <w:lvlJc w:val="left"/>
      <w:rPr>
        <w:color w:val="3370FF"/>
      </w:rPr>
    </w:lvl>
  </w:abstractNum>
  <w:abstractNum w:abstractNumId="42">
    <w:nsid w:val="46A08BB8"/>
    <w:multiLevelType w:val="singleLevel"/>
    <w:tmpl w:val="46A08BB8"/>
    <w:lvl w:ilvl="0" w:tentative="0">
      <w:start w:val="0"/>
      <w:numFmt w:val="bullet"/>
      <w:lvlText w:val="•"/>
      <w:lvlJc w:val="left"/>
      <w:rPr>
        <w:color w:val="3370FF"/>
      </w:rPr>
    </w:lvl>
  </w:abstractNum>
  <w:abstractNum w:abstractNumId="43">
    <w:nsid w:val="4C1BAE26"/>
    <w:multiLevelType w:val="singleLevel"/>
    <w:tmpl w:val="4C1BAE26"/>
    <w:lvl w:ilvl="0" w:tentative="0">
      <w:start w:val="0"/>
      <w:numFmt w:val="bullet"/>
      <w:lvlText w:val="•"/>
      <w:lvlJc w:val="left"/>
      <w:rPr>
        <w:color w:val="3370FF"/>
      </w:rPr>
    </w:lvl>
  </w:abstractNum>
  <w:abstractNum w:abstractNumId="44">
    <w:nsid w:val="4C3D7A74"/>
    <w:multiLevelType w:val="singleLevel"/>
    <w:tmpl w:val="4C3D7A74"/>
    <w:lvl w:ilvl="0" w:tentative="0">
      <w:start w:val="0"/>
      <w:numFmt w:val="bullet"/>
      <w:lvlText w:val="•"/>
      <w:lvlJc w:val="left"/>
      <w:rPr>
        <w:color w:val="3370FF"/>
      </w:rPr>
    </w:lvl>
  </w:abstractNum>
  <w:abstractNum w:abstractNumId="45">
    <w:nsid w:val="4D4DC07F"/>
    <w:multiLevelType w:val="singleLevel"/>
    <w:tmpl w:val="4D4DC07F"/>
    <w:lvl w:ilvl="0" w:tentative="0">
      <w:start w:val="0"/>
      <w:numFmt w:val="bullet"/>
      <w:lvlText w:val="•"/>
      <w:lvlJc w:val="left"/>
      <w:rPr>
        <w:color w:val="3370FF"/>
      </w:rPr>
    </w:lvl>
  </w:abstractNum>
  <w:abstractNum w:abstractNumId="46">
    <w:nsid w:val="4D94DA66"/>
    <w:multiLevelType w:val="singleLevel"/>
    <w:tmpl w:val="4D94DA66"/>
    <w:lvl w:ilvl="0" w:tentative="0">
      <w:start w:val="0"/>
      <w:numFmt w:val="bullet"/>
      <w:lvlText w:val="•"/>
      <w:lvlJc w:val="left"/>
      <w:rPr>
        <w:color w:val="3370FF"/>
      </w:rPr>
    </w:lvl>
  </w:abstractNum>
  <w:abstractNum w:abstractNumId="47">
    <w:nsid w:val="58765686"/>
    <w:multiLevelType w:val="singleLevel"/>
    <w:tmpl w:val="58765686"/>
    <w:lvl w:ilvl="0" w:tentative="0">
      <w:start w:val="0"/>
      <w:numFmt w:val="bullet"/>
      <w:lvlText w:val="•"/>
      <w:lvlJc w:val="left"/>
      <w:rPr>
        <w:color w:val="3370FF"/>
      </w:rPr>
    </w:lvl>
  </w:abstractNum>
  <w:abstractNum w:abstractNumId="48">
    <w:nsid w:val="59ADCABA"/>
    <w:multiLevelType w:val="singleLevel"/>
    <w:tmpl w:val="59ADCABA"/>
    <w:lvl w:ilvl="0" w:tentative="0">
      <w:start w:val="3"/>
      <w:numFmt w:val="decimal"/>
      <w:lvlText w:val="%1."/>
      <w:lvlJc w:val="left"/>
      <w:rPr>
        <w:color w:val="3370FF"/>
      </w:rPr>
    </w:lvl>
  </w:abstractNum>
  <w:abstractNum w:abstractNumId="49">
    <w:nsid w:val="5A241D34"/>
    <w:multiLevelType w:val="singleLevel"/>
    <w:tmpl w:val="5A241D34"/>
    <w:lvl w:ilvl="0" w:tentative="0">
      <w:start w:val="0"/>
      <w:numFmt w:val="bullet"/>
      <w:lvlText w:val="•"/>
      <w:lvlJc w:val="left"/>
      <w:rPr>
        <w:color w:val="3370FF"/>
      </w:rPr>
    </w:lvl>
  </w:abstractNum>
  <w:abstractNum w:abstractNumId="50">
    <w:nsid w:val="5E29AB5A"/>
    <w:multiLevelType w:val="singleLevel"/>
    <w:tmpl w:val="5E29AB5A"/>
    <w:lvl w:ilvl="0" w:tentative="0">
      <w:start w:val="0"/>
      <w:numFmt w:val="bullet"/>
      <w:lvlText w:val="•"/>
      <w:lvlJc w:val="left"/>
      <w:rPr>
        <w:color w:val="3370FF"/>
      </w:rPr>
    </w:lvl>
  </w:abstractNum>
  <w:abstractNum w:abstractNumId="51">
    <w:nsid w:val="5FFFB1A7"/>
    <w:multiLevelType w:val="singleLevel"/>
    <w:tmpl w:val="5FFFB1A7"/>
    <w:lvl w:ilvl="0" w:tentative="0">
      <w:start w:val="0"/>
      <w:numFmt w:val="bullet"/>
      <w:lvlText w:val="•"/>
      <w:lvlJc w:val="left"/>
      <w:rPr>
        <w:color w:val="3370FF"/>
      </w:rPr>
    </w:lvl>
  </w:abstractNum>
  <w:abstractNum w:abstractNumId="52">
    <w:nsid w:val="60382F6E"/>
    <w:multiLevelType w:val="singleLevel"/>
    <w:tmpl w:val="60382F6E"/>
    <w:lvl w:ilvl="0" w:tentative="0">
      <w:start w:val="0"/>
      <w:numFmt w:val="bullet"/>
      <w:lvlText w:val="•"/>
      <w:lvlJc w:val="left"/>
      <w:rPr>
        <w:color w:val="3370FF"/>
      </w:rPr>
    </w:lvl>
  </w:abstractNum>
  <w:abstractNum w:abstractNumId="53">
    <w:nsid w:val="629F7852"/>
    <w:multiLevelType w:val="singleLevel"/>
    <w:tmpl w:val="629F7852"/>
    <w:lvl w:ilvl="0" w:tentative="0">
      <w:start w:val="0"/>
      <w:numFmt w:val="bullet"/>
      <w:lvlText w:val="•"/>
      <w:lvlJc w:val="left"/>
      <w:rPr>
        <w:color w:val="3370FF"/>
      </w:rPr>
    </w:lvl>
  </w:abstractNum>
  <w:abstractNum w:abstractNumId="54">
    <w:nsid w:val="65CD0074"/>
    <w:multiLevelType w:val="singleLevel"/>
    <w:tmpl w:val="65CD0074"/>
    <w:lvl w:ilvl="0" w:tentative="0">
      <w:start w:val="0"/>
      <w:numFmt w:val="bullet"/>
      <w:lvlText w:val="•"/>
      <w:lvlJc w:val="left"/>
      <w:rPr>
        <w:color w:val="3370FF"/>
      </w:rPr>
    </w:lvl>
  </w:abstractNum>
  <w:abstractNum w:abstractNumId="55">
    <w:nsid w:val="72183CF9"/>
    <w:multiLevelType w:val="singleLevel"/>
    <w:tmpl w:val="72183CF9"/>
    <w:lvl w:ilvl="0" w:tentative="0">
      <w:start w:val="0"/>
      <w:numFmt w:val="bullet"/>
      <w:lvlText w:val="•"/>
      <w:lvlJc w:val="left"/>
      <w:rPr>
        <w:color w:val="3370FF"/>
      </w:rPr>
    </w:lvl>
  </w:abstractNum>
  <w:abstractNum w:abstractNumId="56">
    <w:nsid w:val="74C28B35"/>
    <w:multiLevelType w:val="singleLevel"/>
    <w:tmpl w:val="74C28B35"/>
    <w:lvl w:ilvl="0" w:tentative="0">
      <w:start w:val="0"/>
      <w:numFmt w:val="bullet"/>
      <w:lvlText w:val="•"/>
      <w:lvlJc w:val="left"/>
      <w:rPr>
        <w:color w:val="3370FF"/>
      </w:rPr>
    </w:lvl>
  </w:abstractNum>
  <w:abstractNum w:abstractNumId="57">
    <w:nsid w:val="77ECEA79"/>
    <w:multiLevelType w:val="singleLevel"/>
    <w:tmpl w:val="77ECEA79"/>
    <w:lvl w:ilvl="0" w:tentative="0">
      <w:start w:val="0"/>
      <w:numFmt w:val="bullet"/>
      <w:lvlText w:val="•"/>
      <w:lvlJc w:val="left"/>
      <w:rPr>
        <w:color w:val="3370FF"/>
      </w:rPr>
    </w:lvl>
  </w:abstractNum>
  <w:abstractNum w:abstractNumId="58">
    <w:nsid w:val="79AA4FA4"/>
    <w:multiLevelType w:val="singleLevel"/>
    <w:tmpl w:val="79AA4FA4"/>
    <w:lvl w:ilvl="0" w:tentative="0">
      <w:start w:val="0"/>
      <w:numFmt w:val="bullet"/>
      <w:lvlText w:val="•"/>
      <w:lvlJc w:val="left"/>
      <w:rPr>
        <w:color w:val="3370FF"/>
      </w:rPr>
    </w:lvl>
  </w:abstractNum>
  <w:abstractNum w:abstractNumId="59">
    <w:nsid w:val="7C246926"/>
    <w:multiLevelType w:val="singleLevel"/>
    <w:tmpl w:val="7C246926"/>
    <w:lvl w:ilvl="0" w:tentative="0">
      <w:start w:val="0"/>
      <w:numFmt w:val="bullet"/>
      <w:lvlText w:val="•"/>
      <w:lvlJc w:val="left"/>
      <w:rPr>
        <w:color w:val="3370FF"/>
      </w:rPr>
    </w:lvl>
  </w:abstractNum>
  <w:abstractNum w:abstractNumId="60">
    <w:nsid w:val="7DEC2089"/>
    <w:multiLevelType w:val="singleLevel"/>
    <w:tmpl w:val="7DEC2089"/>
    <w:lvl w:ilvl="0" w:tentative="0">
      <w:start w:val="0"/>
      <w:numFmt w:val="bullet"/>
      <w:lvlText w:val="•"/>
      <w:lvlJc w:val="left"/>
      <w:rPr>
        <w:color w:val="3370FF"/>
      </w:rPr>
    </w:lvl>
  </w:abstractNum>
  <w:num w:numId="1">
    <w:abstractNumId w:val="24"/>
  </w:num>
  <w:num w:numId="2">
    <w:abstractNumId w:val="16"/>
  </w:num>
  <w:num w:numId="3">
    <w:abstractNumId w:val="48"/>
  </w:num>
  <w:num w:numId="4">
    <w:abstractNumId w:val="14"/>
  </w:num>
  <w:num w:numId="5">
    <w:abstractNumId w:val="10"/>
  </w:num>
  <w:num w:numId="6">
    <w:abstractNumId w:val="26"/>
  </w:num>
  <w:num w:numId="7">
    <w:abstractNumId w:val="35"/>
  </w:num>
  <w:num w:numId="8">
    <w:abstractNumId w:val="55"/>
  </w:num>
  <w:num w:numId="9">
    <w:abstractNumId w:val="25"/>
  </w:num>
  <w:num w:numId="10">
    <w:abstractNumId w:val="5"/>
  </w:num>
  <w:num w:numId="11">
    <w:abstractNumId w:val="36"/>
  </w:num>
  <w:num w:numId="12">
    <w:abstractNumId w:val="49"/>
  </w:num>
  <w:num w:numId="13">
    <w:abstractNumId w:val="15"/>
  </w:num>
  <w:num w:numId="14">
    <w:abstractNumId w:val="45"/>
  </w:num>
  <w:num w:numId="15">
    <w:abstractNumId w:val="22"/>
  </w:num>
  <w:num w:numId="16">
    <w:abstractNumId w:val="34"/>
  </w:num>
  <w:num w:numId="17">
    <w:abstractNumId w:val="19"/>
  </w:num>
  <w:num w:numId="18">
    <w:abstractNumId w:val="18"/>
  </w:num>
  <w:num w:numId="19">
    <w:abstractNumId w:val="7"/>
  </w:num>
  <w:num w:numId="20">
    <w:abstractNumId w:val="43"/>
  </w:num>
  <w:num w:numId="21">
    <w:abstractNumId w:val="52"/>
  </w:num>
  <w:num w:numId="22">
    <w:abstractNumId w:val="29"/>
  </w:num>
  <w:num w:numId="23">
    <w:abstractNumId w:val="42"/>
  </w:num>
  <w:num w:numId="24">
    <w:abstractNumId w:val="8"/>
  </w:num>
  <w:num w:numId="25">
    <w:abstractNumId w:val="59"/>
  </w:num>
  <w:num w:numId="26">
    <w:abstractNumId w:val="57"/>
  </w:num>
  <w:num w:numId="27">
    <w:abstractNumId w:val="13"/>
  </w:num>
  <w:num w:numId="28">
    <w:abstractNumId w:val="53"/>
  </w:num>
  <w:num w:numId="29">
    <w:abstractNumId w:val="6"/>
  </w:num>
  <w:num w:numId="30">
    <w:abstractNumId w:val="40"/>
  </w:num>
  <w:num w:numId="31">
    <w:abstractNumId w:val="2"/>
  </w:num>
  <w:num w:numId="32">
    <w:abstractNumId w:val="47"/>
  </w:num>
  <w:num w:numId="33">
    <w:abstractNumId w:val="60"/>
  </w:num>
  <w:num w:numId="34">
    <w:abstractNumId w:val="0"/>
  </w:num>
  <w:num w:numId="35">
    <w:abstractNumId w:val="33"/>
  </w:num>
  <w:num w:numId="36">
    <w:abstractNumId w:val="46"/>
  </w:num>
  <w:num w:numId="37">
    <w:abstractNumId w:val="23"/>
  </w:num>
  <w:num w:numId="38">
    <w:abstractNumId w:val="20"/>
  </w:num>
  <w:num w:numId="39">
    <w:abstractNumId w:val="37"/>
  </w:num>
  <w:num w:numId="40">
    <w:abstractNumId w:val="58"/>
  </w:num>
  <w:num w:numId="41">
    <w:abstractNumId w:val="12"/>
  </w:num>
  <w:num w:numId="42">
    <w:abstractNumId w:val="4"/>
  </w:num>
  <w:num w:numId="43">
    <w:abstractNumId w:val="11"/>
  </w:num>
  <w:num w:numId="44">
    <w:abstractNumId w:val="50"/>
  </w:num>
  <w:num w:numId="45">
    <w:abstractNumId w:val="1"/>
  </w:num>
  <w:num w:numId="46">
    <w:abstractNumId w:val="30"/>
  </w:num>
  <w:num w:numId="47">
    <w:abstractNumId w:val="3"/>
  </w:num>
  <w:num w:numId="48">
    <w:abstractNumId w:val="51"/>
  </w:num>
  <w:num w:numId="49">
    <w:abstractNumId w:val="56"/>
  </w:num>
  <w:num w:numId="50">
    <w:abstractNumId w:val="44"/>
  </w:num>
  <w:num w:numId="51">
    <w:abstractNumId w:val="38"/>
  </w:num>
  <w:num w:numId="52">
    <w:abstractNumId w:val="54"/>
  </w:num>
  <w:num w:numId="53">
    <w:abstractNumId w:val="27"/>
  </w:num>
  <w:num w:numId="54">
    <w:abstractNumId w:val="28"/>
  </w:num>
  <w:num w:numId="55">
    <w:abstractNumId w:val="17"/>
  </w:num>
  <w:num w:numId="56">
    <w:abstractNumId w:val="39"/>
  </w:num>
  <w:num w:numId="57">
    <w:abstractNumId w:val="31"/>
  </w:num>
  <w:num w:numId="58">
    <w:abstractNumId w:val="21"/>
  </w:num>
  <w:num w:numId="59">
    <w:abstractNumId w:val="32"/>
  </w:num>
  <w:num w:numId="60">
    <w:abstractNumId w:val="9"/>
  </w:num>
  <w:num w:numId="6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C8456B"/>
    <w:rsid w:val="3B226339"/>
    <w:rsid w:val="652601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7979</Words>
  <Characters>8567</Characters>
  <TotalTime>486</TotalTime>
  <ScaleCrop>false</ScaleCrop>
  <LinksUpToDate>false</LinksUpToDate>
  <CharactersWithSpaces>8605</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2026-08-20T01:40:00Z</dcterms:created>
  <dc:creator>Apache POI</dc:creator>
  <cp:lastModifiedBy>张超乾</cp:lastModifiedBy>
  <dcterms:modified xsi:type="dcterms:W3CDTF">2026-08-27T00:45:19Z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{"Label":"1","ContentProducer":"001191110102MACQD9K64010000","ProduceID":"7675922698070445022","ReservedCode1":"","ContentPropagator":"","PropagateID":"","ReservedCode2":""}</vt:lpwstr>
  </property>
  <property fmtid="{D5CDD505-2E9C-101B-9397-08002B2CF9AE}" pid="3" name="KSOProductBuildVer">
    <vt:lpwstr>2052-12.1.0.28043</vt:lpwstr>
  </property>
  <property fmtid="{D5CDD505-2E9C-101B-9397-08002B2CF9AE}" pid="4" name="ICV">
    <vt:lpwstr>E794BDE07FFF469BA8926E3CDFBF6F93_13</vt:lpwstr>
  </property>
  <property fmtid="{D5CDD505-2E9C-101B-9397-08002B2CF9AE}" pid="5" name="KSOTemplateDocerSaveRecord">
    <vt:lpwstr>eyJoZGlkIjoiODRkNjEzYjY5MDI2Njc4YzlhNDJmYTExNDBmYjUwYjEiLCJ1c2VySWQiOiIzMTQ3ODM5NjMifQ==</vt:lpwstr>
  </property>
</Properties>
</file>